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spacing w:line="560" w:lineRule="exact"/>
        <w:ind w:leftChars="0"/>
        <w:jc w:val="left"/>
        <w:rPr>
          <w:rFonts w:hint="default" w:ascii="楷体_GB2312" w:hAnsi="楷体_GB2312" w:eastAsia="楷体_GB2312" w:cs="楷体_GB2312"/>
          <w:b/>
          <w:bCs/>
          <w:color w:val="000000" w:themeColor="text1"/>
          <w:sz w:val="32"/>
          <w:szCs w:val="32"/>
          <w:lang w:val="en-US" w:eastAsia="zh-CN"/>
          <w14:textFill>
            <w14:solidFill>
              <w14:schemeClr w14:val="tx1"/>
            </w14:solidFill>
          </w14:textFill>
        </w:rPr>
      </w:pPr>
      <w:bookmarkStart w:id="0" w:name="_GoBack"/>
      <w:bookmarkEnd w:id="0"/>
      <w:r>
        <w:rPr>
          <w:rFonts w:hint="eastAsia" w:ascii="楷体_GB2312" w:hAnsi="楷体_GB2312" w:eastAsia="楷体_GB2312" w:cs="楷体_GB2312"/>
          <w:b/>
          <w:bCs/>
          <w:color w:val="000000" w:themeColor="text1"/>
          <w:sz w:val="32"/>
          <w:szCs w:val="32"/>
          <w:lang w:eastAsia="zh-CN"/>
          <w14:textFill>
            <w14:solidFill>
              <w14:schemeClr w14:val="tx1"/>
            </w14:solidFill>
          </w14:textFill>
        </w:rPr>
        <w:t>附件</w:t>
      </w:r>
      <w:r>
        <w:rPr>
          <w:rFonts w:hint="eastAsia" w:ascii="楷体_GB2312" w:hAnsi="楷体_GB2312" w:eastAsia="楷体_GB2312" w:cs="楷体_GB2312"/>
          <w:b/>
          <w:bCs/>
          <w:color w:val="000000" w:themeColor="text1"/>
          <w:sz w:val="32"/>
          <w:szCs w:val="32"/>
          <w:lang w:val="en-US" w:eastAsia="zh-CN"/>
          <w14:textFill>
            <w14:solidFill>
              <w14:schemeClr w14:val="tx1"/>
            </w14:solidFill>
          </w14:textFill>
        </w:rPr>
        <w:t>1:</w:t>
      </w:r>
    </w:p>
    <w:p>
      <w:pPr>
        <w:spacing w:line="560" w:lineRule="exact"/>
        <w:jc w:val="center"/>
        <w:rPr>
          <w:rFonts w:ascii="方正小标宋简体" w:eastAsia="方正小标宋简体"/>
          <w:color w:val="000000" w:themeColor="text1"/>
          <w:sz w:val="40"/>
          <w:szCs w:val="40"/>
          <w14:textFill>
            <w14:solidFill>
              <w14:schemeClr w14:val="tx1"/>
            </w14:solidFill>
          </w14:textFill>
        </w:rPr>
      </w:pPr>
      <w:r>
        <w:rPr>
          <w:rFonts w:hint="eastAsia" w:ascii="方正小标宋简体" w:eastAsia="方正小标宋简体"/>
          <w:color w:val="000000" w:themeColor="text1"/>
          <w:sz w:val="40"/>
          <w:szCs w:val="40"/>
          <w:lang w:eastAsia="zh-CN"/>
          <w14:textFill>
            <w14:solidFill>
              <w14:schemeClr w14:val="tx1"/>
            </w14:solidFill>
          </w14:textFill>
        </w:rPr>
        <w:t>赛罕区</w:t>
      </w:r>
      <w:r>
        <w:rPr>
          <w:rFonts w:hint="eastAsia" w:ascii="方正小标宋简体" w:eastAsia="方正小标宋简体"/>
          <w:color w:val="000000" w:themeColor="text1"/>
          <w:sz w:val="40"/>
          <w:szCs w:val="40"/>
          <w14:textFill>
            <w14:solidFill>
              <w14:schemeClr w14:val="tx1"/>
            </w14:solidFill>
          </w14:textFill>
        </w:rPr>
        <w:t>“十四五”时期审计工作主要任务</w:t>
      </w:r>
    </w:p>
    <w:p>
      <w:pPr>
        <w:spacing w:line="300" w:lineRule="exact"/>
        <w:jc w:val="center"/>
        <w:rPr>
          <w:rFonts w:ascii="方正小标宋简体" w:eastAsia="方正小标宋简体"/>
          <w:color w:val="000000" w:themeColor="text1"/>
          <w:sz w:val="36"/>
          <w:szCs w:val="36"/>
          <w14:textFill>
            <w14:solidFill>
              <w14:schemeClr w14:val="tx1"/>
            </w14:solidFill>
          </w14:textFill>
        </w:rPr>
      </w:pPr>
    </w:p>
    <w:tbl>
      <w:tblPr>
        <w:tblStyle w:val="8"/>
        <w:tblW w:w="5444" w:type="pct"/>
        <w:jc w:val="center"/>
        <w:tblLayout w:type="autofit"/>
        <w:tblCellMar>
          <w:top w:w="0" w:type="dxa"/>
          <w:left w:w="108" w:type="dxa"/>
          <w:bottom w:w="0" w:type="dxa"/>
          <w:right w:w="108" w:type="dxa"/>
        </w:tblCellMar>
      </w:tblPr>
      <w:tblGrid>
        <w:gridCol w:w="1518"/>
        <w:gridCol w:w="945"/>
        <w:gridCol w:w="2856"/>
        <w:gridCol w:w="2643"/>
        <w:gridCol w:w="1903"/>
      </w:tblGrid>
      <w:tr>
        <w:tblPrEx>
          <w:tblCellMar>
            <w:top w:w="0" w:type="dxa"/>
            <w:left w:w="108" w:type="dxa"/>
            <w:bottom w:w="0" w:type="dxa"/>
            <w:right w:w="108" w:type="dxa"/>
          </w:tblCellMar>
        </w:tblPrEx>
        <w:trPr>
          <w:trHeight w:val="435" w:hRule="atLeast"/>
          <w:jc w:val="center"/>
        </w:trPr>
        <w:tc>
          <w:tcPr>
            <w:tcW w:w="76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b/>
                <w:bCs w:val="0"/>
                <w:color w:val="000000"/>
                <w:kern w:val="0"/>
                <w:sz w:val="24"/>
                <w:szCs w:val="24"/>
              </w:rPr>
            </w:pPr>
            <w:r>
              <w:rPr>
                <w:rFonts w:hint="eastAsia" w:ascii="宋体" w:hAnsi="宋体" w:eastAsia="宋体" w:cs="宋体"/>
                <w:b/>
                <w:bCs w:val="0"/>
                <w:color w:val="000000"/>
                <w:kern w:val="0"/>
                <w:sz w:val="24"/>
                <w:szCs w:val="24"/>
              </w:rPr>
              <w:t>任务领域</w:t>
            </w:r>
          </w:p>
        </w:tc>
        <w:tc>
          <w:tcPr>
            <w:tcW w:w="192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b/>
                <w:bCs w:val="0"/>
                <w:color w:val="000000"/>
                <w:kern w:val="0"/>
                <w:sz w:val="24"/>
                <w:szCs w:val="24"/>
              </w:rPr>
            </w:pPr>
            <w:r>
              <w:rPr>
                <w:rFonts w:hint="eastAsia" w:ascii="宋体" w:hAnsi="宋体" w:eastAsia="宋体" w:cs="宋体"/>
                <w:b/>
                <w:bCs w:val="0"/>
                <w:color w:val="000000"/>
                <w:kern w:val="0"/>
                <w:sz w:val="24"/>
                <w:szCs w:val="24"/>
              </w:rPr>
              <w:t>重点事项</w:t>
            </w:r>
          </w:p>
        </w:tc>
        <w:tc>
          <w:tcPr>
            <w:tcW w:w="1339"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b/>
                <w:bCs w:val="0"/>
                <w:color w:val="000000"/>
                <w:kern w:val="0"/>
                <w:sz w:val="24"/>
                <w:szCs w:val="24"/>
              </w:rPr>
            </w:pPr>
            <w:r>
              <w:rPr>
                <w:rFonts w:hint="eastAsia" w:ascii="宋体" w:hAnsi="宋体" w:eastAsia="宋体" w:cs="宋体"/>
                <w:b/>
                <w:bCs w:val="0"/>
                <w:color w:val="000000"/>
                <w:kern w:val="0"/>
                <w:sz w:val="24"/>
                <w:szCs w:val="24"/>
              </w:rPr>
              <w:t>要求</w:t>
            </w:r>
          </w:p>
        </w:tc>
        <w:tc>
          <w:tcPr>
            <w:tcW w:w="964"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b/>
                <w:bCs w:val="0"/>
                <w:color w:val="000000"/>
                <w:kern w:val="0"/>
                <w:sz w:val="24"/>
                <w:szCs w:val="24"/>
              </w:rPr>
            </w:pPr>
            <w:r>
              <w:rPr>
                <w:rFonts w:hint="eastAsia" w:ascii="宋体" w:hAnsi="宋体" w:eastAsia="宋体" w:cs="宋体"/>
                <w:b/>
                <w:bCs w:val="0"/>
                <w:color w:val="000000"/>
                <w:kern w:val="0"/>
                <w:sz w:val="24"/>
                <w:szCs w:val="24"/>
              </w:rPr>
              <w:t>实施方式</w:t>
            </w:r>
          </w:p>
        </w:tc>
      </w:tr>
      <w:tr>
        <w:tblPrEx>
          <w:tblCellMar>
            <w:top w:w="0" w:type="dxa"/>
            <w:left w:w="108" w:type="dxa"/>
            <w:bottom w:w="0" w:type="dxa"/>
            <w:right w:w="108" w:type="dxa"/>
          </w:tblCellMar>
        </w:tblPrEx>
        <w:trPr>
          <w:trHeight w:val="90" w:hRule="atLeast"/>
          <w:jc w:val="center"/>
        </w:trPr>
        <w:tc>
          <w:tcPr>
            <w:tcW w:w="769"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color w:val="000000"/>
                <w:kern w:val="0"/>
                <w:sz w:val="24"/>
                <w:szCs w:val="24"/>
              </w:rPr>
            </w:pPr>
            <w:r>
              <w:rPr>
                <w:rFonts w:hint="eastAsia" w:ascii="仿宋_GB2312" w:hAnsi="宋体" w:eastAsia="仿宋_GB2312" w:cs="宋体"/>
                <w:b/>
                <w:color w:val="000000"/>
                <w:kern w:val="0"/>
                <w:sz w:val="24"/>
                <w:szCs w:val="24"/>
              </w:rPr>
              <w:t>政策跟踪审计</w:t>
            </w:r>
          </w:p>
        </w:tc>
        <w:tc>
          <w:tcPr>
            <w:tcW w:w="1926" w:type="pct"/>
            <w:gridSpan w:val="2"/>
            <w:tcBorders>
              <w:top w:val="single" w:color="auto" w:sz="4" w:space="0"/>
              <w:left w:val="nil"/>
              <w:bottom w:val="single" w:color="auto" w:sz="4" w:space="0"/>
              <w:right w:val="single" w:color="auto" w:sz="4" w:space="0"/>
            </w:tcBorders>
            <w:shd w:val="clear" w:color="auto" w:fill="auto"/>
            <w:vAlign w:val="center"/>
          </w:tcPr>
          <w:p>
            <w:pPr>
              <w:widowControl/>
              <w:jc w:val="both"/>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促进优化营商环境、助力“六稳”“六保”政策落实，促进污染防治、助力推动乡村振兴、防范化解重大风险、科技创新驱动、区域协调发展等方面。</w:t>
            </w:r>
          </w:p>
        </w:tc>
        <w:tc>
          <w:tcPr>
            <w:tcW w:w="1339" w:type="pct"/>
            <w:tcBorders>
              <w:top w:val="nil"/>
              <w:left w:val="nil"/>
              <w:bottom w:val="single" w:color="auto" w:sz="4" w:space="0"/>
              <w:right w:val="single" w:color="auto" w:sz="4" w:space="0"/>
            </w:tcBorders>
            <w:shd w:val="clear" w:color="auto" w:fill="auto"/>
            <w:vAlign w:val="center"/>
          </w:tcPr>
          <w:p>
            <w:pPr>
              <w:widowControl/>
              <w:jc w:val="both"/>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按照审计署、审计厅、市审计局的统一安排部署，每年同步实施4个关系经济社会发展大局的政策措施开展审计。</w:t>
            </w:r>
          </w:p>
        </w:tc>
        <w:tc>
          <w:tcPr>
            <w:tcW w:w="964" w:type="pct"/>
            <w:tcBorders>
              <w:top w:val="nil"/>
              <w:left w:val="nil"/>
              <w:bottom w:val="single" w:color="auto" w:sz="4" w:space="0"/>
              <w:right w:val="single" w:color="auto" w:sz="4" w:space="0"/>
            </w:tcBorders>
            <w:shd w:val="clear" w:color="auto" w:fill="auto"/>
            <w:vAlign w:val="center"/>
          </w:tcPr>
          <w:p>
            <w:pPr>
              <w:widowControl/>
              <w:jc w:val="both"/>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上级审计机关统一组织，采取“1+N”组织方式，全市两级审计机关具体实施。</w:t>
            </w:r>
          </w:p>
        </w:tc>
      </w:tr>
      <w:tr>
        <w:tblPrEx>
          <w:tblCellMar>
            <w:top w:w="0" w:type="dxa"/>
            <w:left w:w="108" w:type="dxa"/>
            <w:bottom w:w="0" w:type="dxa"/>
            <w:right w:w="108" w:type="dxa"/>
          </w:tblCellMar>
        </w:tblPrEx>
        <w:trPr>
          <w:trHeight w:val="1710" w:hRule="atLeast"/>
          <w:jc w:val="center"/>
        </w:trPr>
        <w:tc>
          <w:tcPr>
            <w:tcW w:w="769"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b/>
                <w:color w:val="000000"/>
                <w:kern w:val="0"/>
                <w:sz w:val="24"/>
                <w:szCs w:val="24"/>
              </w:rPr>
            </w:pPr>
            <w:r>
              <w:rPr>
                <w:rFonts w:hint="eastAsia" w:ascii="仿宋_GB2312" w:hAnsi="宋体" w:eastAsia="仿宋_GB2312" w:cs="宋体"/>
                <w:b/>
                <w:color w:val="000000"/>
                <w:kern w:val="0"/>
                <w:sz w:val="24"/>
                <w:szCs w:val="24"/>
              </w:rPr>
              <w:t>财政</w:t>
            </w:r>
          </w:p>
          <w:p>
            <w:pPr>
              <w:widowControl/>
              <w:jc w:val="center"/>
              <w:rPr>
                <w:rFonts w:ascii="仿宋_GB2312" w:hAnsi="宋体" w:eastAsia="仿宋_GB2312" w:cs="宋体"/>
                <w:b/>
                <w:color w:val="000000"/>
                <w:kern w:val="0"/>
                <w:sz w:val="24"/>
                <w:szCs w:val="24"/>
              </w:rPr>
            </w:pPr>
            <w:r>
              <w:rPr>
                <w:rFonts w:hint="eastAsia" w:ascii="仿宋_GB2312" w:hAnsi="宋体" w:eastAsia="仿宋_GB2312" w:cs="宋体"/>
                <w:b/>
                <w:color w:val="000000"/>
                <w:kern w:val="0"/>
                <w:sz w:val="24"/>
                <w:szCs w:val="24"/>
              </w:rPr>
              <w:t>审计</w:t>
            </w:r>
          </w:p>
        </w:tc>
        <w:tc>
          <w:tcPr>
            <w:tcW w:w="479" w:type="pct"/>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审计对象</w:t>
            </w:r>
          </w:p>
        </w:tc>
        <w:tc>
          <w:tcPr>
            <w:tcW w:w="1446" w:type="pct"/>
            <w:tcBorders>
              <w:top w:val="nil"/>
              <w:left w:val="nil"/>
              <w:bottom w:val="single" w:color="auto" w:sz="4" w:space="0"/>
              <w:right w:val="single" w:color="auto" w:sz="4" w:space="0"/>
            </w:tcBorders>
            <w:shd w:val="clear" w:color="auto" w:fill="auto"/>
            <w:vAlign w:val="center"/>
          </w:tcPr>
          <w:p>
            <w:pPr>
              <w:widowControl/>
              <w:jc w:val="both"/>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对</w:t>
            </w:r>
            <w:r>
              <w:rPr>
                <w:rFonts w:hint="eastAsia" w:ascii="仿宋_GB2312" w:hAnsi="宋体" w:eastAsia="仿宋_GB2312" w:cs="宋体"/>
                <w:color w:val="000000"/>
                <w:kern w:val="0"/>
                <w:sz w:val="24"/>
                <w:szCs w:val="24"/>
                <w:lang w:eastAsia="zh-CN"/>
              </w:rPr>
              <w:t>区</w:t>
            </w:r>
            <w:r>
              <w:rPr>
                <w:rFonts w:hint="eastAsia" w:ascii="仿宋_GB2312" w:hAnsi="宋体" w:eastAsia="仿宋_GB2312" w:cs="宋体"/>
                <w:color w:val="000000"/>
                <w:kern w:val="0"/>
                <w:sz w:val="24"/>
                <w:szCs w:val="24"/>
              </w:rPr>
              <w:t>本级预算执行及其他财政收支情况进行审计，对</w:t>
            </w:r>
            <w:r>
              <w:rPr>
                <w:rFonts w:hint="eastAsia" w:ascii="仿宋_GB2312" w:hAnsi="宋体" w:eastAsia="仿宋_GB2312" w:cs="宋体"/>
                <w:color w:val="000000"/>
                <w:kern w:val="0"/>
                <w:sz w:val="24"/>
                <w:szCs w:val="24"/>
                <w:lang w:eastAsia="zh-CN"/>
              </w:rPr>
              <w:t>区</w:t>
            </w:r>
            <w:r>
              <w:rPr>
                <w:rFonts w:hint="eastAsia" w:ascii="仿宋_GB2312" w:hAnsi="宋体" w:eastAsia="仿宋_GB2312" w:cs="宋体"/>
                <w:color w:val="000000"/>
                <w:kern w:val="0"/>
                <w:sz w:val="24"/>
                <w:szCs w:val="24"/>
              </w:rPr>
              <w:t>本级一级预算单位的部门预算执行情况和其它财政收支情况以及决算草案进行审计。探索开展政府财务报告审计。</w:t>
            </w:r>
          </w:p>
        </w:tc>
        <w:tc>
          <w:tcPr>
            <w:tcW w:w="1339" w:type="pct"/>
            <w:tcBorders>
              <w:top w:val="nil"/>
              <w:left w:val="nil"/>
              <w:bottom w:val="single" w:color="auto" w:sz="4" w:space="0"/>
              <w:right w:val="single" w:color="auto" w:sz="4" w:space="0"/>
            </w:tcBorders>
            <w:shd w:val="clear" w:color="auto" w:fill="auto"/>
            <w:vAlign w:val="center"/>
          </w:tcPr>
          <w:p>
            <w:pPr>
              <w:widowControl/>
              <w:jc w:val="both"/>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每年组织对</w:t>
            </w:r>
            <w:r>
              <w:rPr>
                <w:rFonts w:hint="eastAsia" w:ascii="仿宋_GB2312" w:hAnsi="宋体" w:eastAsia="仿宋_GB2312" w:cs="宋体"/>
                <w:color w:val="000000"/>
                <w:kern w:val="0"/>
                <w:sz w:val="24"/>
                <w:szCs w:val="24"/>
                <w:lang w:eastAsia="zh-CN"/>
              </w:rPr>
              <w:t>区</w:t>
            </w:r>
            <w:r>
              <w:rPr>
                <w:rFonts w:hint="eastAsia" w:ascii="仿宋_GB2312" w:hAnsi="宋体" w:eastAsia="仿宋_GB2312" w:cs="宋体"/>
                <w:color w:val="000000"/>
                <w:kern w:val="0"/>
                <w:sz w:val="24"/>
                <w:szCs w:val="24"/>
              </w:rPr>
              <w:t>本级重点领域、重点部门、重点资金的一级预算执行审计和其他财政收支情况审计，</w:t>
            </w:r>
            <w:r>
              <w:rPr>
                <w:rFonts w:hint="eastAsia" w:ascii="仿宋_GB2312" w:hAnsi="宋体" w:eastAsia="仿宋_GB2312" w:cs="宋体"/>
                <w:color w:val="000000"/>
                <w:kern w:val="0"/>
                <w:sz w:val="24"/>
                <w:szCs w:val="24"/>
                <w:highlight w:val="none"/>
              </w:rPr>
              <w:t>对全</w:t>
            </w:r>
            <w:r>
              <w:rPr>
                <w:rFonts w:hint="eastAsia" w:ascii="仿宋_GB2312" w:hAnsi="宋体" w:eastAsia="仿宋_GB2312" w:cs="宋体"/>
                <w:color w:val="000000"/>
                <w:kern w:val="0"/>
                <w:sz w:val="24"/>
                <w:szCs w:val="24"/>
                <w:highlight w:val="none"/>
                <w:lang w:eastAsia="zh-CN"/>
              </w:rPr>
              <w:t>区</w:t>
            </w:r>
            <w:r>
              <w:rPr>
                <w:rFonts w:hint="eastAsia" w:ascii="仿宋_GB2312" w:hAnsi="宋体" w:eastAsia="仿宋_GB2312" w:cs="宋体"/>
                <w:color w:val="000000"/>
                <w:kern w:val="0"/>
                <w:sz w:val="24"/>
                <w:szCs w:val="24"/>
                <w:highlight w:val="none"/>
                <w:lang w:val="en-US" w:eastAsia="zh-CN"/>
              </w:rPr>
              <w:t>11</w:t>
            </w:r>
            <w:r>
              <w:rPr>
                <w:rFonts w:hint="eastAsia" w:ascii="仿宋_GB2312" w:hAnsi="宋体" w:eastAsia="仿宋_GB2312" w:cs="宋体"/>
                <w:color w:val="000000"/>
                <w:kern w:val="0"/>
                <w:sz w:val="24"/>
                <w:szCs w:val="24"/>
                <w:highlight w:val="none"/>
              </w:rPr>
              <w:t>个镇</w:t>
            </w:r>
            <w:r>
              <w:rPr>
                <w:rFonts w:hint="eastAsia" w:ascii="仿宋_GB2312" w:hAnsi="宋体" w:eastAsia="仿宋_GB2312" w:cs="宋体"/>
                <w:color w:val="000000"/>
                <w:kern w:val="0"/>
                <w:sz w:val="24"/>
                <w:szCs w:val="24"/>
                <w:highlight w:val="none"/>
                <w:lang w:eastAsia="zh-CN"/>
              </w:rPr>
              <w:t>、街道</w:t>
            </w:r>
            <w:r>
              <w:rPr>
                <w:rFonts w:hint="eastAsia" w:ascii="仿宋_GB2312" w:hAnsi="宋体" w:eastAsia="仿宋_GB2312" w:cs="宋体"/>
                <w:color w:val="000000"/>
                <w:kern w:val="0"/>
                <w:sz w:val="24"/>
                <w:szCs w:val="24"/>
              </w:rPr>
              <w:t>财政决算审计5年内轮审1遍。</w:t>
            </w:r>
          </w:p>
        </w:tc>
        <w:tc>
          <w:tcPr>
            <w:tcW w:w="964" w:type="pct"/>
            <w:vMerge w:val="restart"/>
            <w:tcBorders>
              <w:top w:val="nil"/>
              <w:left w:val="nil"/>
              <w:right w:val="single" w:color="auto" w:sz="4" w:space="0"/>
            </w:tcBorders>
            <w:shd w:val="clear" w:color="auto" w:fill="auto"/>
            <w:vAlign w:val="center"/>
          </w:tcPr>
          <w:p>
            <w:pPr>
              <w:widowControl/>
              <w:jc w:val="both"/>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lang w:eastAsia="zh-CN"/>
              </w:rPr>
              <w:t>区</w:t>
            </w:r>
            <w:r>
              <w:rPr>
                <w:rFonts w:hint="eastAsia" w:ascii="仿宋_GB2312" w:hAnsi="宋体" w:eastAsia="仿宋_GB2312" w:cs="宋体"/>
                <w:color w:val="000000"/>
                <w:kern w:val="0"/>
                <w:sz w:val="24"/>
                <w:szCs w:val="24"/>
              </w:rPr>
              <w:t>审计局统一组织，结合经济责任审计、部门预算执行审计，采取同级审方式实施。</w:t>
            </w:r>
          </w:p>
        </w:tc>
      </w:tr>
      <w:tr>
        <w:tblPrEx>
          <w:tblCellMar>
            <w:top w:w="0" w:type="dxa"/>
            <w:left w:w="108" w:type="dxa"/>
            <w:bottom w:w="0" w:type="dxa"/>
            <w:right w:w="108" w:type="dxa"/>
          </w:tblCellMar>
        </w:tblPrEx>
        <w:trPr>
          <w:trHeight w:val="2367" w:hRule="atLeast"/>
          <w:jc w:val="center"/>
        </w:trPr>
        <w:tc>
          <w:tcPr>
            <w:tcW w:w="769" w:type="pct"/>
            <w:vMerge w:val="continue"/>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color w:val="000000"/>
                <w:kern w:val="0"/>
                <w:sz w:val="24"/>
                <w:szCs w:val="24"/>
              </w:rPr>
            </w:pPr>
          </w:p>
        </w:tc>
        <w:tc>
          <w:tcPr>
            <w:tcW w:w="479" w:type="pct"/>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重点关注政策</w:t>
            </w:r>
          </w:p>
        </w:tc>
        <w:tc>
          <w:tcPr>
            <w:tcW w:w="1446" w:type="pct"/>
            <w:tcBorders>
              <w:top w:val="nil"/>
              <w:left w:val="nil"/>
              <w:bottom w:val="single" w:color="auto" w:sz="4" w:space="0"/>
              <w:right w:val="single" w:color="auto" w:sz="4" w:space="0"/>
            </w:tcBorders>
            <w:shd w:val="clear" w:color="auto" w:fill="auto"/>
            <w:vAlign w:val="center"/>
          </w:tcPr>
          <w:p>
            <w:pPr>
              <w:widowControl/>
              <w:jc w:val="both"/>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以绩效为核心集中财力办大事政策体系、财政支出标准化建设、全面预算绩效管理、中央八项规定及其实施细则精神、政府“过紧日子”、健全政府债务管理制度等财政领域重大政策措施。</w:t>
            </w:r>
          </w:p>
        </w:tc>
        <w:tc>
          <w:tcPr>
            <w:tcW w:w="1339" w:type="pct"/>
            <w:tcBorders>
              <w:top w:val="nil"/>
              <w:left w:val="nil"/>
              <w:bottom w:val="single" w:color="auto" w:sz="4" w:space="0"/>
              <w:right w:val="single" w:color="auto" w:sz="4" w:space="0"/>
            </w:tcBorders>
            <w:shd w:val="clear" w:color="auto" w:fill="auto"/>
            <w:vAlign w:val="center"/>
          </w:tcPr>
          <w:p>
            <w:pPr>
              <w:widowControl/>
              <w:jc w:val="both"/>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每年围绕重点任务选择2个左右专题开展审计。</w:t>
            </w:r>
          </w:p>
        </w:tc>
        <w:tc>
          <w:tcPr>
            <w:tcW w:w="964" w:type="pct"/>
            <w:vMerge w:val="continue"/>
            <w:tcBorders>
              <w:left w:val="nil"/>
              <w:right w:val="single" w:color="auto" w:sz="4" w:space="0"/>
            </w:tcBorders>
            <w:shd w:val="clear" w:color="auto" w:fill="auto"/>
            <w:vAlign w:val="center"/>
          </w:tcPr>
          <w:p>
            <w:pPr>
              <w:widowControl/>
              <w:jc w:val="left"/>
              <w:rPr>
                <w:rFonts w:ascii="仿宋_GB2312" w:hAnsi="宋体" w:eastAsia="仿宋_GB2312" w:cs="宋体"/>
                <w:color w:val="000000"/>
                <w:kern w:val="0"/>
                <w:sz w:val="24"/>
                <w:szCs w:val="24"/>
              </w:rPr>
            </w:pPr>
          </w:p>
        </w:tc>
      </w:tr>
      <w:tr>
        <w:tblPrEx>
          <w:tblCellMar>
            <w:top w:w="0" w:type="dxa"/>
            <w:left w:w="108" w:type="dxa"/>
            <w:bottom w:w="0" w:type="dxa"/>
            <w:right w:w="108" w:type="dxa"/>
          </w:tblCellMar>
        </w:tblPrEx>
        <w:trPr>
          <w:trHeight w:val="1167" w:hRule="atLeast"/>
          <w:jc w:val="center"/>
        </w:trPr>
        <w:tc>
          <w:tcPr>
            <w:tcW w:w="769" w:type="pct"/>
            <w:vMerge w:val="continue"/>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color w:val="000000"/>
                <w:kern w:val="0"/>
                <w:sz w:val="24"/>
                <w:szCs w:val="24"/>
              </w:rPr>
            </w:pPr>
          </w:p>
        </w:tc>
        <w:tc>
          <w:tcPr>
            <w:tcW w:w="479" w:type="pct"/>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重点关注资金</w:t>
            </w:r>
          </w:p>
        </w:tc>
        <w:tc>
          <w:tcPr>
            <w:tcW w:w="1446" w:type="pct"/>
            <w:tcBorders>
              <w:top w:val="nil"/>
              <w:left w:val="nil"/>
              <w:bottom w:val="single" w:color="auto" w:sz="4" w:space="0"/>
              <w:right w:val="single" w:color="auto" w:sz="4" w:space="0"/>
            </w:tcBorders>
            <w:shd w:val="clear" w:color="auto" w:fill="auto"/>
            <w:vAlign w:val="center"/>
          </w:tcPr>
          <w:p>
            <w:pPr>
              <w:widowControl/>
              <w:jc w:val="both"/>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大额财政专项资金和部门项目资金。</w:t>
            </w:r>
          </w:p>
        </w:tc>
        <w:tc>
          <w:tcPr>
            <w:tcW w:w="1339" w:type="pct"/>
            <w:tcBorders>
              <w:top w:val="nil"/>
              <w:left w:val="nil"/>
              <w:bottom w:val="single" w:color="auto" w:sz="4" w:space="0"/>
              <w:right w:val="single" w:color="auto" w:sz="4" w:space="0"/>
            </w:tcBorders>
            <w:shd w:val="clear" w:color="auto" w:fill="auto"/>
            <w:vAlign w:val="center"/>
          </w:tcPr>
          <w:p>
            <w:pPr>
              <w:widowControl/>
              <w:jc w:val="both"/>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财政专项资金每年选择若干项开展审计；部门项目资金结合部门预算执行审计同步开展。</w:t>
            </w:r>
          </w:p>
        </w:tc>
        <w:tc>
          <w:tcPr>
            <w:tcW w:w="964" w:type="pct"/>
            <w:vMerge w:val="continue"/>
            <w:tcBorders>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szCs w:val="24"/>
              </w:rPr>
            </w:pPr>
          </w:p>
        </w:tc>
      </w:tr>
      <w:tr>
        <w:tblPrEx>
          <w:tblCellMar>
            <w:top w:w="0" w:type="dxa"/>
            <w:left w:w="108" w:type="dxa"/>
            <w:bottom w:w="0" w:type="dxa"/>
            <w:right w:w="108" w:type="dxa"/>
          </w:tblCellMar>
        </w:tblPrEx>
        <w:trPr>
          <w:trHeight w:val="717" w:hRule="atLeast"/>
          <w:jc w:val="center"/>
        </w:trPr>
        <w:tc>
          <w:tcPr>
            <w:tcW w:w="769"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color w:val="000000"/>
                <w:kern w:val="0"/>
                <w:sz w:val="24"/>
                <w:szCs w:val="24"/>
              </w:rPr>
            </w:pPr>
            <w:r>
              <w:rPr>
                <w:rFonts w:hint="eastAsia" w:ascii="仿宋_GB2312" w:hAnsi="宋体" w:eastAsia="仿宋_GB2312" w:cs="宋体"/>
                <w:b/>
                <w:color w:val="000000"/>
                <w:kern w:val="0"/>
                <w:sz w:val="24"/>
                <w:szCs w:val="24"/>
              </w:rPr>
              <w:t>农业农村审计</w:t>
            </w:r>
          </w:p>
        </w:tc>
        <w:tc>
          <w:tcPr>
            <w:tcW w:w="479" w:type="pct"/>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审计</w:t>
            </w:r>
          </w:p>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对象</w:t>
            </w:r>
          </w:p>
        </w:tc>
        <w:tc>
          <w:tcPr>
            <w:tcW w:w="1446" w:type="pct"/>
            <w:tcBorders>
              <w:top w:val="nil"/>
              <w:left w:val="nil"/>
              <w:bottom w:val="single" w:color="auto" w:sz="4" w:space="0"/>
              <w:right w:val="single" w:color="auto" w:sz="4" w:space="0"/>
            </w:tcBorders>
            <w:shd w:val="clear" w:color="000000" w:fill="FFFFFF"/>
            <w:vAlign w:val="center"/>
          </w:tcPr>
          <w:p>
            <w:pPr>
              <w:widowControl/>
              <w:jc w:val="both"/>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每年统一组织审计2个镇</w:t>
            </w:r>
            <w:r>
              <w:rPr>
                <w:rFonts w:hint="eastAsia" w:ascii="仿宋_GB2312" w:hAnsi="宋体" w:eastAsia="仿宋_GB2312" w:cs="宋体"/>
                <w:color w:val="000000"/>
                <w:kern w:val="0"/>
                <w:sz w:val="24"/>
                <w:szCs w:val="24"/>
                <w:lang w:eastAsia="zh-CN"/>
              </w:rPr>
              <w:t>、街道</w:t>
            </w:r>
            <w:r>
              <w:rPr>
                <w:rFonts w:hint="eastAsia" w:ascii="仿宋_GB2312" w:hAnsi="宋体" w:eastAsia="仿宋_GB2312" w:cs="宋体"/>
                <w:color w:val="000000"/>
                <w:kern w:val="0"/>
                <w:sz w:val="24"/>
                <w:szCs w:val="24"/>
              </w:rPr>
              <w:t>。</w:t>
            </w:r>
          </w:p>
        </w:tc>
        <w:tc>
          <w:tcPr>
            <w:tcW w:w="1339"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both"/>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按照上级审计机关要求实施。</w:t>
            </w:r>
          </w:p>
        </w:tc>
        <w:tc>
          <w:tcPr>
            <w:tcW w:w="96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both"/>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按照上级审计机关要求，</w:t>
            </w:r>
            <w:r>
              <w:rPr>
                <w:rFonts w:hint="eastAsia" w:ascii="仿宋_GB2312" w:hAnsi="宋体" w:eastAsia="仿宋_GB2312" w:cs="宋体"/>
                <w:color w:val="000000"/>
                <w:kern w:val="0"/>
                <w:sz w:val="24"/>
                <w:szCs w:val="24"/>
                <w:lang w:eastAsia="zh-CN"/>
              </w:rPr>
              <w:t>区</w:t>
            </w:r>
            <w:r>
              <w:rPr>
                <w:rFonts w:hint="eastAsia" w:ascii="仿宋_GB2312" w:hAnsi="宋体" w:eastAsia="仿宋_GB2312" w:cs="宋体"/>
                <w:color w:val="000000"/>
                <w:kern w:val="0"/>
                <w:sz w:val="24"/>
                <w:szCs w:val="24"/>
              </w:rPr>
              <w:t>审计局统一组织实施。</w:t>
            </w:r>
          </w:p>
        </w:tc>
      </w:tr>
      <w:tr>
        <w:tblPrEx>
          <w:tblCellMar>
            <w:top w:w="0" w:type="dxa"/>
            <w:left w:w="108" w:type="dxa"/>
            <w:bottom w:w="0" w:type="dxa"/>
            <w:right w:w="108" w:type="dxa"/>
          </w:tblCellMar>
        </w:tblPrEx>
        <w:trPr>
          <w:trHeight w:val="90" w:hRule="atLeast"/>
          <w:jc w:val="center"/>
        </w:trPr>
        <w:tc>
          <w:tcPr>
            <w:tcW w:w="769" w:type="pct"/>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color w:val="000000"/>
                <w:kern w:val="0"/>
                <w:sz w:val="24"/>
                <w:szCs w:val="24"/>
              </w:rPr>
            </w:pPr>
          </w:p>
        </w:tc>
        <w:tc>
          <w:tcPr>
            <w:tcW w:w="479" w:type="pct"/>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重点关注政策</w:t>
            </w:r>
          </w:p>
        </w:tc>
        <w:tc>
          <w:tcPr>
            <w:tcW w:w="1446" w:type="pct"/>
            <w:tcBorders>
              <w:top w:val="nil"/>
              <w:left w:val="nil"/>
              <w:bottom w:val="single" w:color="auto" w:sz="4" w:space="0"/>
              <w:right w:val="single" w:color="auto" w:sz="4" w:space="0"/>
            </w:tcBorders>
            <w:shd w:val="clear" w:color="auto" w:fill="auto"/>
            <w:vAlign w:val="center"/>
          </w:tcPr>
          <w:p>
            <w:pPr>
              <w:widowControl/>
              <w:jc w:val="both"/>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高标准农田建设、粮食和重要农畜产品安全稳产、农牧业农村牧区改革、巩固拓展脱贫成果以及乡村振兴等政策。</w:t>
            </w:r>
          </w:p>
        </w:tc>
        <w:tc>
          <w:tcPr>
            <w:tcW w:w="1339" w:type="pct"/>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24"/>
                <w:szCs w:val="24"/>
              </w:rPr>
            </w:pPr>
          </w:p>
        </w:tc>
        <w:tc>
          <w:tcPr>
            <w:tcW w:w="964" w:type="pct"/>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24"/>
                <w:szCs w:val="24"/>
              </w:rPr>
            </w:pPr>
          </w:p>
        </w:tc>
      </w:tr>
      <w:tr>
        <w:tblPrEx>
          <w:tblCellMar>
            <w:top w:w="0" w:type="dxa"/>
            <w:left w:w="108" w:type="dxa"/>
            <w:bottom w:w="0" w:type="dxa"/>
            <w:right w:w="108" w:type="dxa"/>
          </w:tblCellMar>
        </w:tblPrEx>
        <w:trPr>
          <w:trHeight w:val="537" w:hRule="atLeast"/>
          <w:jc w:val="center"/>
        </w:trPr>
        <w:tc>
          <w:tcPr>
            <w:tcW w:w="769" w:type="pct"/>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color w:val="000000"/>
                <w:kern w:val="0"/>
                <w:sz w:val="24"/>
                <w:szCs w:val="24"/>
              </w:rPr>
            </w:pPr>
          </w:p>
        </w:tc>
        <w:tc>
          <w:tcPr>
            <w:tcW w:w="479" w:type="pct"/>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重点关注资金</w:t>
            </w:r>
          </w:p>
        </w:tc>
        <w:tc>
          <w:tcPr>
            <w:tcW w:w="1446" w:type="pct"/>
            <w:tcBorders>
              <w:top w:val="nil"/>
              <w:left w:val="nil"/>
              <w:bottom w:val="single" w:color="auto" w:sz="4" w:space="0"/>
              <w:right w:val="single" w:color="auto" w:sz="4" w:space="0"/>
            </w:tcBorders>
            <w:shd w:val="clear" w:color="auto" w:fill="auto"/>
            <w:vAlign w:val="center"/>
          </w:tcPr>
          <w:p>
            <w:pPr>
              <w:widowControl/>
              <w:jc w:val="both"/>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涉农涉牧领域财政专项资金。</w:t>
            </w:r>
          </w:p>
        </w:tc>
        <w:tc>
          <w:tcPr>
            <w:tcW w:w="1339" w:type="pct"/>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24"/>
                <w:szCs w:val="24"/>
              </w:rPr>
            </w:pPr>
          </w:p>
        </w:tc>
        <w:tc>
          <w:tcPr>
            <w:tcW w:w="964" w:type="pct"/>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24"/>
                <w:szCs w:val="24"/>
              </w:rPr>
            </w:pPr>
          </w:p>
        </w:tc>
      </w:tr>
      <w:tr>
        <w:tblPrEx>
          <w:tblCellMar>
            <w:top w:w="0" w:type="dxa"/>
            <w:left w:w="108" w:type="dxa"/>
            <w:bottom w:w="0" w:type="dxa"/>
            <w:right w:w="108" w:type="dxa"/>
          </w:tblCellMar>
        </w:tblPrEx>
        <w:trPr>
          <w:trHeight w:val="533" w:hRule="atLeast"/>
          <w:jc w:val="center"/>
        </w:trPr>
        <w:tc>
          <w:tcPr>
            <w:tcW w:w="76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b/>
                <w:color w:val="000000"/>
                <w:kern w:val="0"/>
                <w:sz w:val="24"/>
                <w:szCs w:val="24"/>
              </w:rPr>
            </w:pPr>
            <w:r>
              <w:rPr>
                <w:rFonts w:hint="eastAsia" w:ascii="宋体" w:hAnsi="宋体" w:eastAsia="宋体" w:cs="宋体"/>
                <w:b/>
                <w:color w:val="000000"/>
                <w:kern w:val="0"/>
                <w:sz w:val="24"/>
                <w:szCs w:val="24"/>
              </w:rPr>
              <w:t>任务领域</w:t>
            </w:r>
          </w:p>
        </w:tc>
        <w:tc>
          <w:tcPr>
            <w:tcW w:w="192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b/>
                <w:color w:val="000000"/>
                <w:kern w:val="0"/>
                <w:sz w:val="24"/>
                <w:szCs w:val="24"/>
              </w:rPr>
            </w:pPr>
            <w:r>
              <w:rPr>
                <w:rFonts w:hint="eastAsia" w:ascii="宋体" w:hAnsi="宋体" w:eastAsia="宋体" w:cs="宋体"/>
                <w:b/>
                <w:color w:val="000000"/>
                <w:kern w:val="0"/>
                <w:sz w:val="24"/>
                <w:szCs w:val="24"/>
              </w:rPr>
              <w:t>重点事项</w:t>
            </w:r>
          </w:p>
        </w:tc>
        <w:tc>
          <w:tcPr>
            <w:tcW w:w="1339"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b/>
                <w:color w:val="000000"/>
                <w:kern w:val="0"/>
                <w:sz w:val="24"/>
                <w:szCs w:val="24"/>
              </w:rPr>
            </w:pPr>
            <w:r>
              <w:rPr>
                <w:rFonts w:hint="eastAsia" w:ascii="宋体" w:hAnsi="宋体" w:eastAsia="宋体" w:cs="宋体"/>
                <w:b/>
                <w:color w:val="000000"/>
                <w:kern w:val="0"/>
                <w:sz w:val="24"/>
                <w:szCs w:val="24"/>
              </w:rPr>
              <w:t>要求</w:t>
            </w:r>
          </w:p>
        </w:tc>
        <w:tc>
          <w:tcPr>
            <w:tcW w:w="964"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b/>
                <w:color w:val="000000"/>
                <w:kern w:val="0"/>
                <w:sz w:val="24"/>
                <w:szCs w:val="24"/>
              </w:rPr>
            </w:pPr>
            <w:r>
              <w:rPr>
                <w:rFonts w:hint="eastAsia" w:ascii="宋体" w:hAnsi="宋体" w:eastAsia="宋体" w:cs="宋体"/>
                <w:b/>
                <w:color w:val="000000"/>
                <w:kern w:val="0"/>
                <w:sz w:val="24"/>
                <w:szCs w:val="24"/>
              </w:rPr>
              <w:t>实施方式</w:t>
            </w:r>
          </w:p>
        </w:tc>
      </w:tr>
      <w:tr>
        <w:tblPrEx>
          <w:tblCellMar>
            <w:top w:w="0" w:type="dxa"/>
            <w:left w:w="108" w:type="dxa"/>
            <w:bottom w:w="0" w:type="dxa"/>
            <w:right w:w="108" w:type="dxa"/>
          </w:tblCellMar>
        </w:tblPrEx>
        <w:trPr>
          <w:trHeight w:val="1628" w:hRule="atLeast"/>
          <w:jc w:val="center"/>
        </w:trPr>
        <w:tc>
          <w:tcPr>
            <w:tcW w:w="769"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color w:val="000000"/>
                <w:kern w:val="0"/>
                <w:sz w:val="24"/>
                <w:szCs w:val="24"/>
              </w:rPr>
            </w:pPr>
            <w:r>
              <w:rPr>
                <w:rFonts w:hint="eastAsia" w:ascii="仿宋_GB2312" w:hAnsi="宋体" w:eastAsia="仿宋_GB2312" w:cs="宋体"/>
                <w:b/>
                <w:color w:val="000000"/>
                <w:kern w:val="0"/>
                <w:sz w:val="24"/>
                <w:szCs w:val="24"/>
              </w:rPr>
              <w:t>民生审计</w:t>
            </w:r>
          </w:p>
        </w:tc>
        <w:tc>
          <w:tcPr>
            <w:tcW w:w="479"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审计对象</w:t>
            </w:r>
          </w:p>
        </w:tc>
        <w:tc>
          <w:tcPr>
            <w:tcW w:w="1446" w:type="pct"/>
            <w:tcBorders>
              <w:top w:val="nil"/>
              <w:left w:val="nil"/>
              <w:bottom w:val="single" w:color="auto" w:sz="4" w:space="0"/>
              <w:right w:val="single" w:color="auto" w:sz="4" w:space="0"/>
            </w:tcBorders>
            <w:shd w:val="clear" w:color="auto" w:fill="auto"/>
            <w:vAlign w:val="center"/>
          </w:tcPr>
          <w:p>
            <w:pPr>
              <w:widowControl/>
              <w:jc w:val="both"/>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就业、社会保障、住房、社会救助、社会福利和优抚安置、彩票、捐赠等重点民生领域。</w:t>
            </w:r>
          </w:p>
        </w:tc>
        <w:tc>
          <w:tcPr>
            <w:tcW w:w="1339"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both"/>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每年围绕上级要求和</w:t>
            </w:r>
            <w:r>
              <w:rPr>
                <w:rFonts w:hint="eastAsia" w:ascii="仿宋_GB2312" w:hAnsi="宋体" w:eastAsia="仿宋_GB2312" w:cs="宋体"/>
                <w:color w:val="000000"/>
                <w:kern w:val="0"/>
                <w:sz w:val="24"/>
                <w:szCs w:val="24"/>
                <w:lang w:eastAsia="zh-CN"/>
              </w:rPr>
              <w:t>区</w:t>
            </w:r>
            <w:r>
              <w:rPr>
                <w:rFonts w:hint="eastAsia" w:ascii="仿宋_GB2312" w:hAnsi="宋体" w:eastAsia="仿宋_GB2312" w:cs="宋体"/>
                <w:color w:val="000000"/>
                <w:kern w:val="0"/>
                <w:sz w:val="24"/>
                <w:szCs w:val="24"/>
              </w:rPr>
              <w:t>委、</w:t>
            </w:r>
            <w:r>
              <w:rPr>
                <w:rFonts w:hint="eastAsia" w:ascii="仿宋_GB2312" w:hAnsi="宋体" w:eastAsia="仿宋_GB2312" w:cs="宋体"/>
                <w:color w:val="000000"/>
                <w:kern w:val="0"/>
                <w:sz w:val="24"/>
                <w:szCs w:val="24"/>
                <w:lang w:eastAsia="zh-CN"/>
              </w:rPr>
              <w:t>区</w:t>
            </w:r>
            <w:r>
              <w:rPr>
                <w:rFonts w:hint="eastAsia" w:ascii="仿宋_GB2312" w:hAnsi="宋体" w:eastAsia="仿宋_GB2312" w:cs="宋体"/>
                <w:color w:val="000000"/>
                <w:kern w:val="0"/>
                <w:sz w:val="24"/>
                <w:szCs w:val="24"/>
              </w:rPr>
              <w:t>政府重点任务选择若干政策、若干资金开展审计。</w:t>
            </w:r>
          </w:p>
        </w:tc>
        <w:tc>
          <w:tcPr>
            <w:tcW w:w="96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both"/>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按照上级审计机关要求实施。</w:t>
            </w:r>
          </w:p>
        </w:tc>
      </w:tr>
      <w:tr>
        <w:tblPrEx>
          <w:tblCellMar>
            <w:top w:w="0" w:type="dxa"/>
            <w:left w:w="108" w:type="dxa"/>
            <w:bottom w:w="0" w:type="dxa"/>
            <w:right w:w="108" w:type="dxa"/>
          </w:tblCellMar>
        </w:tblPrEx>
        <w:trPr>
          <w:trHeight w:val="923" w:hRule="atLeast"/>
          <w:jc w:val="center"/>
        </w:trPr>
        <w:tc>
          <w:tcPr>
            <w:tcW w:w="769" w:type="pct"/>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color w:val="000000"/>
                <w:kern w:val="0"/>
                <w:sz w:val="24"/>
                <w:szCs w:val="24"/>
              </w:rPr>
            </w:pPr>
          </w:p>
        </w:tc>
        <w:tc>
          <w:tcPr>
            <w:tcW w:w="479" w:type="pct"/>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24"/>
                <w:szCs w:val="24"/>
              </w:rPr>
            </w:pPr>
          </w:p>
        </w:tc>
        <w:tc>
          <w:tcPr>
            <w:tcW w:w="1446" w:type="pct"/>
            <w:tcBorders>
              <w:top w:val="nil"/>
              <w:left w:val="nil"/>
              <w:bottom w:val="single" w:color="auto" w:sz="4" w:space="0"/>
              <w:right w:val="single" w:color="auto" w:sz="4" w:space="0"/>
            </w:tcBorders>
            <w:shd w:val="clear" w:color="auto" w:fill="auto"/>
            <w:vAlign w:val="center"/>
          </w:tcPr>
          <w:p>
            <w:pPr>
              <w:widowControl/>
              <w:jc w:val="both"/>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养老、生育、失业、工伤等社会保险基金。</w:t>
            </w:r>
          </w:p>
        </w:tc>
        <w:tc>
          <w:tcPr>
            <w:tcW w:w="1339" w:type="pct"/>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24"/>
                <w:szCs w:val="24"/>
              </w:rPr>
            </w:pPr>
          </w:p>
        </w:tc>
        <w:tc>
          <w:tcPr>
            <w:tcW w:w="964" w:type="pct"/>
            <w:vMerge w:val="continue"/>
            <w:tcBorders>
              <w:top w:val="nil"/>
              <w:left w:val="single" w:color="auto" w:sz="4" w:space="0"/>
              <w:bottom w:val="single" w:color="auto" w:sz="4" w:space="0"/>
              <w:right w:val="single" w:color="auto" w:sz="4" w:space="0"/>
            </w:tcBorders>
            <w:vAlign w:val="center"/>
          </w:tcPr>
          <w:p>
            <w:pPr>
              <w:widowControl/>
              <w:jc w:val="both"/>
              <w:rPr>
                <w:rFonts w:ascii="仿宋_GB2312" w:hAnsi="宋体" w:eastAsia="仿宋_GB2312" w:cs="宋体"/>
                <w:color w:val="000000"/>
                <w:kern w:val="0"/>
                <w:sz w:val="24"/>
                <w:szCs w:val="24"/>
              </w:rPr>
            </w:pPr>
          </w:p>
        </w:tc>
      </w:tr>
      <w:tr>
        <w:tblPrEx>
          <w:tblCellMar>
            <w:top w:w="0" w:type="dxa"/>
            <w:left w:w="108" w:type="dxa"/>
            <w:bottom w:w="0" w:type="dxa"/>
            <w:right w:w="108" w:type="dxa"/>
          </w:tblCellMar>
        </w:tblPrEx>
        <w:trPr>
          <w:trHeight w:val="767" w:hRule="atLeast"/>
          <w:jc w:val="center"/>
        </w:trPr>
        <w:tc>
          <w:tcPr>
            <w:tcW w:w="769" w:type="pct"/>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color w:val="000000"/>
                <w:kern w:val="0"/>
                <w:sz w:val="24"/>
                <w:szCs w:val="24"/>
              </w:rPr>
            </w:pPr>
          </w:p>
        </w:tc>
        <w:tc>
          <w:tcPr>
            <w:tcW w:w="479" w:type="pct"/>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24"/>
                <w:szCs w:val="24"/>
              </w:rPr>
            </w:pPr>
          </w:p>
        </w:tc>
        <w:tc>
          <w:tcPr>
            <w:tcW w:w="1446" w:type="pct"/>
            <w:tcBorders>
              <w:top w:val="nil"/>
              <w:left w:val="nil"/>
              <w:bottom w:val="single" w:color="auto" w:sz="4" w:space="0"/>
              <w:right w:val="single" w:color="auto" w:sz="4" w:space="0"/>
            </w:tcBorders>
            <w:shd w:val="clear" w:color="auto" w:fill="auto"/>
            <w:vAlign w:val="center"/>
          </w:tcPr>
          <w:p>
            <w:pPr>
              <w:widowControl/>
              <w:jc w:val="both"/>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教育、卫生等领域。</w:t>
            </w:r>
          </w:p>
        </w:tc>
        <w:tc>
          <w:tcPr>
            <w:tcW w:w="1339" w:type="pct"/>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24"/>
                <w:szCs w:val="24"/>
              </w:rPr>
            </w:pPr>
          </w:p>
        </w:tc>
        <w:tc>
          <w:tcPr>
            <w:tcW w:w="964" w:type="pct"/>
            <w:vMerge w:val="continue"/>
            <w:tcBorders>
              <w:top w:val="nil"/>
              <w:left w:val="single" w:color="auto" w:sz="4" w:space="0"/>
              <w:bottom w:val="single" w:color="auto" w:sz="4" w:space="0"/>
              <w:right w:val="single" w:color="auto" w:sz="4" w:space="0"/>
            </w:tcBorders>
            <w:vAlign w:val="center"/>
          </w:tcPr>
          <w:p>
            <w:pPr>
              <w:widowControl/>
              <w:jc w:val="both"/>
              <w:rPr>
                <w:rFonts w:ascii="仿宋_GB2312" w:hAnsi="宋体" w:eastAsia="仿宋_GB2312" w:cs="宋体"/>
                <w:color w:val="000000"/>
                <w:kern w:val="0"/>
                <w:sz w:val="24"/>
                <w:szCs w:val="24"/>
              </w:rPr>
            </w:pPr>
          </w:p>
        </w:tc>
      </w:tr>
      <w:tr>
        <w:tblPrEx>
          <w:tblCellMar>
            <w:top w:w="0" w:type="dxa"/>
            <w:left w:w="108" w:type="dxa"/>
            <w:bottom w:w="0" w:type="dxa"/>
            <w:right w:w="108" w:type="dxa"/>
          </w:tblCellMar>
        </w:tblPrEx>
        <w:trPr>
          <w:trHeight w:val="1697" w:hRule="atLeast"/>
          <w:jc w:val="center"/>
        </w:trPr>
        <w:tc>
          <w:tcPr>
            <w:tcW w:w="769" w:type="pct"/>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color w:val="000000"/>
                <w:kern w:val="0"/>
                <w:sz w:val="24"/>
                <w:szCs w:val="24"/>
              </w:rPr>
            </w:pPr>
          </w:p>
        </w:tc>
        <w:tc>
          <w:tcPr>
            <w:tcW w:w="479" w:type="pct"/>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重点关注政策</w:t>
            </w:r>
          </w:p>
        </w:tc>
        <w:tc>
          <w:tcPr>
            <w:tcW w:w="1446" w:type="pct"/>
            <w:tcBorders>
              <w:top w:val="nil"/>
              <w:left w:val="nil"/>
              <w:bottom w:val="single" w:color="auto" w:sz="4" w:space="0"/>
              <w:right w:val="single" w:color="auto" w:sz="4" w:space="0"/>
            </w:tcBorders>
            <w:shd w:val="clear" w:color="auto" w:fill="auto"/>
            <w:vAlign w:val="center"/>
          </w:tcPr>
          <w:p>
            <w:pPr>
              <w:widowControl/>
              <w:jc w:val="both"/>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就业优先、健全社会保障体系、社会救助、社会福利兜底保障、住房保障、教育高质量发展和教育现代化、卫生健康改革等政策。</w:t>
            </w:r>
          </w:p>
        </w:tc>
        <w:tc>
          <w:tcPr>
            <w:tcW w:w="1339" w:type="pct"/>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24"/>
                <w:szCs w:val="24"/>
              </w:rPr>
            </w:pPr>
          </w:p>
        </w:tc>
        <w:tc>
          <w:tcPr>
            <w:tcW w:w="964" w:type="pct"/>
            <w:vMerge w:val="continue"/>
            <w:tcBorders>
              <w:top w:val="nil"/>
              <w:left w:val="single" w:color="auto" w:sz="4" w:space="0"/>
              <w:bottom w:val="single" w:color="auto" w:sz="4" w:space="0"/>
              <w:right w:val="single" w:color="auto" w:sz="4" w:space="0"/>
            </w:tcBorders>
            <w:vAlign w:val="center"/>
          </w:tcPr>
          <w:p>
            <w:pPr>
              <w:widowControl/>
              <w:jc w:val="both"/>
              <w:rPr>
                <w:rFonts w:ascii="仿宋_GB2312" w:hAnsi="宋体" w:eastAsia="仿宋_GB2312" w:cs="宋体"/>
                <w:color w:val="000000"/>
                <w:kern w:val="0"/>
                <w:sz w:val="24"/>
                <w:szCs w:val="24"/>
              </w:rPr>
            </w:pPr>
          </w:p>
        </w:tc>
      </w:tr>
      <w:tr>
        <w:tblPrEx>
          <w:tblCellMar>
            <w:top w:w="0" w:type="dxa"/>
            <w:left w:w="108" w:type="dxa"/>
            <w:bottom w:w="0" w:type="dxa"/>
            <w:right w:w="108" w:type="dxa"/>
          </w:tblCellMar>
        </w:tblPrEx>
        <w:trPr>
          <w:trHeight w:val="1134" w:hRule="atLeast"/>
          <w:jc w:val="center"/>
        </w:trPr>
        <w:tc>
          <w:tcPr>
            <w:tcW w:w="769" w:type="pct"/>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color w:val="000000"/>
                <w:kern w:val="0"/>
                <w:sz w:val="24"/>
                <w:szCs w:val="24"/>
              </w:rPr>
            </w:pPr>
          </w:p>
        </w:tc>
        <w:tc>
          <w:tcPr>
            <w:tcW w:w="479" w:type="pct"/>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重点关注资金</w:t>
            </w:r>
          </w:p>
        </w:tc>
        <w:tc>
          <w:tcPr>
            <w:tcW w:w="1446" w:type="pct"/>
            <w:tcBorders>
              <w:top w:val="nil"/>
              <w:left w:val="nil"/>
              <w:bottom w:val="single" w:color="auto" w:sz="4" w:space="0"/>
              <w:right w:val="single" w:color="auto" w:sz="4" w:space="0"/>
            </w:tcBorders>
            <w:shd w:val="clear" w:color="auto" w:fill="auto"/>
            <w:vAlign w:val="center"/>
          </w:tcPr>
          <w:p>
            <w:pPr>
              <w:widowControl/>
              <w:jc w:val="both"/>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稳就业、社会保险、社会救助、社会福利、住房保障、教育、卫生等相关资金。</w:t>
            </w:r>
          </w:p>
        </w:tc>
        <w:tc>
          <w:tcPr>
            <w:tcW w:w="1339" w:type="pct"/>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24"/>
                <w:szCs w:val="24"/>
              </w:rPr>
            </w:pPr>
          </w:p>
        </w:tc>
        <w:tc>
          <w:tcPr>
            <w:tcW w:w="964" w:type="pct"/>
            <w:vMerge w:val="continue"/>
            <w:tcBorders>
              <w:top w:val="nil"/>
              <w:left w:val="single" w:color="auto" w:sz="4" w:space="0"/>
              <w:bottom w:val="single" w:color="auto" w:sz="4" w:space="0"/>
              <w:right w:val="single" w:color="auto" w:sz="4" w:space="0"/>
            </w:tcBorders>
            <w:vAlign w:val="center"/>
          </w:tcPr>
          <w:p>
            <w:pPr>
              <w:widowControl/>
              <w:jc w:val="both"/>
              <w:rPr>
                <w:rFonts w:ascii="仿宋_GB2312" w:hAnsi="宋体" w:eastAsia="仿宋_GB2312" w:cs="宋体"/>
                <w:color w:val="000000"/>
                <w:kern w:val="0"/>
                <w:sz w:val="24"/>
                <w:szCs w:val="24"/>
              </w:rPr>
            </w:pPr>
          </w:p>
        </w:tc>
      </w:tr>
      <w:tr>
        <w:tblPrEx>
          <w:tblCellMar>
            <w:top w:w="0" w:type="dxa"/>
            <w:left w:w="108" w:type="dxa"/>
            <w:bottom w:w="0" w:type="dxa"/>
            <w:right w:w="108" w:type="dxa"/>
          </w:tblCellMar>
        </w:tblPrEx>
        <w:trPr>
          <w:trHeight w:val="1130" w:hRule="atLeast"/>
          <w:jc w:val="center"/>
        </w:trPr>
        <w:tc>
          <w:tcPr>
            <w:tcW w:w="769"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b/>
                <w:color w:val="000000"/>
                <w:kern w:val="0"/>
                <w:sz w:val="24"/>
                <w:szCs w:val="24"/>
              </w:rPr>
            </w:pPr>
            <w:r>
              <w:rPr>
                <w:rFonts w:hint="eastAsia" w:ascii="仿宋_GB2312" w:hAnsi="宋体" w:eastAsia="仿宋_GB2312" w:cs="宋体"/>
                <w:b/>
                <w:color w:val="000000"/>
                <w:kern w:val="0"/>
                <w:sz w:val="24"/>
                <w:szCs w:val="24"/>
              </w:rPr>
              <w:t>资源环境</w:t>
            </w:r>
          </w:p>
          <w:p>
            <w:pPr>
              <w:widowControl/>
              <w:jc w:val="center"/>
              <w:rPr>
                <w:rFonts w:ascii="仿宋_GB2312" w:hAnsi="宋体" w:eastAsia="仿宋_GB2312" w:cs="宋体"/>
                <w:b/>
                <w:color w:val="000000"/>
                <w:kern w:val="0"/>
                <w:sz w:val="24"/>
                <w:szCs w:val="24"/>
              </w:rPr>
            </w:pPr>
            <w:r>
              <w:rPr>
                <w:rFonts w:hint="eastAsia" w:ascii="仿宋_GB2312" w:hAnsi="宋体" w:eastAsia="仿宋_GB2312" w:cs="宋体"/>
                <w:b/>
                <w:color w:val="000000"/>
                <w:kern w:val="0"/>
                <w:sz w:val="24"/>
                <w:szCs w:val="24"/>
              </w:rPr>
              <w:t>审计</w:t>
            </w:r>
          </w:p>
        </w:tc>
        <w:tc>
          <w:tcPr>
            <w:tcW w:w="479"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审计对象</w:t>
            </w:r>
          </w:p>
        </w:tc>
        <w:tc>
          <w:tcPr>
            <w:tcW w:w="1446" w:type="pct"/>
            <w:tcBorders>
              <w:top w:val="nil"/>
              <w:left w:val="nil"/>
              <w:bottom w:val="single" w:color="auto" w:sz="4" w:space="0"/>
              <w:right w:val="single" w:color="auto" w:sz="4" w:space="0"/>
            </w:tcBorders>
            <w:shd w:val="clear" w:color="auto" w:fill="auto"/>
            <w:vAlign w:val="center"/>
          </w:tcPr>
          <w:p>
            <w:pPr>
              <w:widowControl/>
              <w:jc w:val="both"/>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每年开展1个镇</w:t>
            </w:r>
            <w:r>
              <w:rPr>
                <w:rFonts w:hint="eastAsia" w:ascii="仿宋_GB2312" w:hAnsi="宋体" w:eastAsia="仿宋_GB2312" w:cs="宋体"/>
                <w:color w:val="000000"/>
                <w:kern w:val="0"/>
                <w:sz w:val="24"/>
                <w:szCs w:val="24"/>
                <w:lang w:eastAsia="zh-CN"/>
              </w:rPr>
              <w:t>、街道</w:t>
            </w:r>
            <w:r>
              <w:rPr>
                <w:rFonts w:hint="eastAsia" w:ascii="仿宋_GB2312" w:hAnsi="宋体" w:eastAsia="仿宋_GB2312" w:cs="宋体"/>
                <w:color w:val="000000"/>
                <w:kern w:val="0"/>
                <w:sz w:val="24"/>
                <w:szCs w:val="24"/>
              </w:rPr>
              <w:t>领导干部自然资源资产离任（任中）审计项目。</w:t>
            </w:r>
          </w:p>
        </w:tc>
        <w:tc>
          <w:tcPr>
            <w:tcW w:w="1339"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both"/>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健全完善制度，提高审计质量，每年围绕上级要求和</w:t>
            </w:r>
            <w:r>
              <w:rPr>
                <w:rFonts w:hint="eastAsia" w:ascii="仿宋_GB2312" w:hAnsi="宋体" w:eastAsia="仿宋_GB2312" w:cs="宋体"/>
                <w:color w:val="000000"/>
                <w:kern w:val="0"/>
                <w:sz w:val="24"/>
                <w:szCs w:val="24"/>
                <w:lang w:eastAsia="zh-CN"/>
              </w:rPr>
              <w:t>区</w:t>
            </w:r>
            <w:r>
              <w:rPr>
                <w:rFonts w:hint="eastAsia" w:ascii="仿宋_GB2312" w:hAnsi="宋体" w:eastAsia="仿宋_GB2312" w:cs="宋体"/>
                <w:color w:val="000000"/>
                <w:kern w:val="0"/>
                <w:sz w:val="24"/>
                <w:szCs w:val="24"/>
              </w:rPr>
              <w:t>委、</w:t>
            </w:r>
            <w:r>
              <w:rPr>
                <w:rFonts w:hint="eastAsia" w:ascii="仿宋_GB2312" w:hAnsi="宋体" w:eastAsia="仿宋_GB2312" w:cs="宋体"/>
                <w:color w:val="000000"/>
                <w:kern w:val="0"/>
                <w:sz w:val="24"/>
                <w:szCs w:val="24"/>
                <w:lang w:eastAsia="zh-CN"/>
              </w:rPr>
              <w:t>区</w:t>
            </w:r>
            <w:r>
              <w:rPr>
                <w:rFonts w:hint="eastAsia" w:ascii="仿宋_GB2312" w:hAnsi="宋体" w:eastAsia="仿宋_GB2312" w:cs="宋体"/>
                <w:color w:val="000000"/>
                <w:kern w:val="0"/>
                <w:sz w:val="24"/>
                <w:szCs w:val="24"/>
              </w:rPr>
              <w:t>政府重点任务选择若干政策、若干资金开展审计。</w:t>
            </w:r>
          </w:p>
        </w:tc>
        <w:tc>
          <w:tcPr>
            <w:tcW w:w="96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both"/>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按照上级审计机关要求，采取上审下、同级审的方式实施。</w:t>
            </w:r>
          </w:p>
        </w:tc>
      </w:tr>
      <w:tr>
        <w:tblPrEx>
          <w:tblCellMar>
            <w:top w:w="0" w:type="dxa"/>
            <w:left w:w="108" w:type="dxa"/>
            <w:bottom w:w="0" w:type="dxa"/>
            <w:right w:w="108" w:type="dxa"/>
          </w:tblCellMar>
        </w:tblPrEx>
        <w:trPr>
          <w:trHeight w:val="775" w:hRule="atLeast"/>
          <w:jc w:val="center"/>
        </w:trPr>
        <w:tc>
          <w:tcPr>
            <w:tcW w:w="769" w:type="pct"/>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color w:val="000000"/>
                <w:kern w:val="0"/>
                <w:sz w:val="24"/>
                <w:szCs w:val="24"/>
              </w:rPr>
            </w:pPr>
          </w:p>
        </w:tc>
        <w:tc>
          <w:tcPr>
            <w:tcW w:w="479" w:type="pct"/>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24"/>
                <w:szCs w:val="24"/>
              </w:rPr>
            </w:pPr>
          </w:p>
        </w:tc>
        <w:tc>
          <w:tcPr>
            <w:tcW w:w="1446" w:type="pct"/>
            <w:tcBorders>
              <w:top w:val="nil"/>
              <w:left w:val="nil"/>
              <w:bottom w:val="single" w:color="auto" w:sz="4" w:space="0"/>
              <w:right w:val="single" w:color="auto" w:sz="4" w:space="0"/>
            </w:tcBorders>
            <w:shd w:val="clear" w:color="auto" w:fill="auto"/>
            <w:vAlign w:val="center"/>
          </w:tcPr>
          <w:p>
            <w:pPr>
              <w:widowControl/>
              <w:jc w:val="both"/>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开展1个资源环境专项审计项目。</w:t>
            </w:r>
          </w:p>
        </w:tc>
        <w:tc>
          <w:tcPr>
            <w:tcW w:w="1339" w:type="pct"/>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24"/>
                <w:szCs w:val="24"/>
              </w:rPr>
            </w:pPr>
          </w:p>
        </w:tc>
        <w:tc>
          <w:tcPr>
            <w:tcW w:w="964" w:type="pct"/>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24"/>
                <w:szCs w:val="24"/>
              </w:rPr>
            </w:pPr>
          </w:p>
        </w:tc>
      </w:tr>
      <w:tr>
        <w:tblPrEx>
          <w:tblCellMar>
            <w:top w:w="0" w:type="dxa"/>
            <w:left w:w="108" w:type="dxa"/>
            <w:bottom w:w="0" w:type="dxa"/>
            <w:right w:w="108" w:type="dxa"/>
          </w:tblCellMar>
        </w:tblPrEx>
        <w:trPr>
          <w:trHeight w:val="1710" w:hRule="atLeast"/>
          <w:jc w:val="center"/>
        </w:trPr>
        <w:tc>
          <w:tcPr>
            <w:tcW w:w="769" w:type="pct"/>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color w:val="000000"/>
                <w:kern w:val="0"/>
                <w:sz w:val="24"/>
                <w:szCs w:val="24"/>
              </w:rPr>
            </w:pPr>
          </w:p>
        </w:tc>
        <w:tc>
          <w:tcPr>
            <w:tcW w:w="479" w:type="pct"/>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重点关注政策</w:t>
            </w:r>
          </w:p>
        </w:tc>
        <w:tc>
          <w:tcPr>
            <w:tcW w:w="1446" w:type="pct"/>
            <w:tcBorders>
              <w:top w:val="nil"/>
              <w:left w:val="nil"/>
              <w:bottom w:val="single" w:color="auto" w:sz="4" w:space="0"/>
              <w:right w:val="single" w:color="auto" w:sz="4" w:space="0"/>
            </w:tcBorders>
            <w:shd w:val="clear" w:color="auto" w:fill="auto"/>
            <w:vAlign w:val="center"/>
          </w:tcPr>
          <w:p>
            <w:pPr>
              <w:widowControl/>
              <w:jc w:val="both"/>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生态文明体制改革、生态文明建设重大决策部署，生态环境保护治理和自然资源高效利用等重大政策措施实施情况及全</w:t>
            </w:r>
            <w:r>
              <w:rPr>
                <w:rFonts w:hint="eastAsia" w:ascii="仿宋_GB2312" w:hAnsi="宋体" w:eastAsia="仿宋_GB2312" w:cs="宋体"/>
                <w:color w:val="000000"/>
                <w:kern w:val="0"/>
                <w:sz w:val="24"/>
                <w:szCs w:val="24"/>
                <w:lang w:eastAsia="zh-CN"/>
              </w:rPr>
              <w:t>区</w:t>
            </w:r>
            <w:r>
              <w:rPr>
                <w:rFonts w:hint="eastAsia" w:ascii="仿宋_GB2312" w:hAnsi="宋体" w:eastAsia="仿宋_GB2312" w:cs="宋体"/>
                <w:color w:val="000000"/>
                <w:kern w:val="0"/>
                <w:sz w:val="24"/>
                <w:szCs w:val="24"/>
              </w:rPr>
              <w:t>“十四五”规划中资源环境相关目标任务完成情况。</w:t>
            </w:r>
          </w:p>
        </w:tc>
        <w:tc>
          <w:tcPr>
            <w:tcW w:w="1339" w:type="pct"/>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24"/>
                <w:szCs w:val="24"/>
              </w:rPr>
            </w:pPr>
          </w:p>
        </w:tc>
        <w:tc>
          <w:tcPr>
            <w:tcW w:w="964" w:type="pct"/>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24"/>
                <w:szCs w:val="24"/>
              </w:rPr>
            </w:pPr>
          </w:p>
        </w:tc>
      </w:tr>
      <w:tr>
        <w:tblPrEx>
          <w:tblCellMar>
            <w:top w:w="0" w:type="dxa"/>
            <w:left w:w="108" w:type="dxa"/>
            <w:bottom w:w="0" w:type="dxa"/>
            <w:right w:w="108" w:type="dxa"/>
          </w:tblCellMar>
        </w:tblPrEx>
        <w:trPr>
          <w:trHeight w:val="1421" w:hRule="atLeast"/>
          <w:jc w:val="center"/>
        </w:trPr>
        <w:tc>
          <w:tcPr>
            <w:tcW w:w="769" w:type="pct"/>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color w:val="000000"/>
                <w:kern w:val="0"/>
                <w:sz w:val="24"/>
                <w:szCs w:val="24"/>
              </w:rPr>
            </w:pPr>
          </w:p>
        </w:tc>
        <w:tc>
          <w:tcPr>
            <w:tcW w:w="479" w:type="pct"/>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重点关注资金</w:t>
            </w:r>
          </w:p>
        </w:tc>
        <w:tc>
          <w:tcPr>
            <w:tcW w:w="1446" w:type="pct"/>
            <w:tcBorders>
              <w:top w:val="nil"/>
              <w:left w:val="nil"/>
              <w:bottom w:val="single" w:color="auto" w:sz="4" w:space="0"/>
              <w:right w:val="single" w:color="auto" w:sz="4" w:space="0"/>
            </w:tcBorders>
            <w:shd w:val="clear" w:color="auto" w:fill="auto"/>
            <w:vAlign w:val="center"/>
          </w:tcPr>
          <w:p>
            <w:pPr>
              <w:widowControl/>
              <w:jc w:val="both"/>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节能减排、污染防治、生态综合治理、资源开发利用等财政专项资金。</w:t>
            </w:r>
          </w:p>
        </w:tc>
        <w:tc>
          <w:tcPr>
            <w:tcW w:w="1339" w:type="pct"/>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24"/>
                <w:szCs w:val="24"/>
              </w:rPr>
            </w:pPr>
          </w:p>
        </w:tc>
        <w:tc>
          <w:tcPr>
            <w:tcW w:w="964" w:type="pct"/>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24"/>
                <w:szCs w:val="24"/>
              </w:rPr>
            </w:pPr>
          </w:p>
        </w:tc>
      </w:tr>
      <w:tr>
        <w:tblPrEx>
          <w:tblCellMar>
            <w:top w:w="0" w:type="dxa"/>
            <w:left w:w="108" w:type="dxa"/>
            <w:bottom w:w="0" w:type="dxa"/>
            <w:right w:w="108" w:type="dxa"/>
          </w:tblCellMar>
        </w:tblPrEx>
        <w:trPr>
          <w:trHeight w:val="435" w:hRule="atLeast"/>
          <w:jc w:val="center"/>
        </w:trPr>
        <w:tc>
          <w:tcPr>
            <w:tcW w:w="76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b/>
                <w:color w:val="000000"/>
                <w:kern w:val="0"/>
                <w:sz w:val="24"/>
                <w:szCs w:val="24"/>
              </w:rPr>
            </w:pPr>
            <w:r>
              <w:rPr>
                <w:rFonts w:hint="eastAsia" w:ascii="宋体" w:hAnsi="宋体" w:eastAsia="宋体" w:cs="宋体"/>
                <w:b/>
                <w:color w:val="000000"/>
                <w:kern w:val="0"/>
                <w:sz w:val="24"/>
                <w:szCs w:val="24"/>
              </w:rPr>
              <w:t>任务领域</w:t>
            </w:r>
          </w:p>
        </w:tc>
        <w:tc>
          <w:tcPr>
            <w:tcW w:w="192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b/>
                <w:color w:val="000000"/>
                <w:kern w:val="0"/>
                <w:sz w:val="24"/>
                <w:szCs w:val="24"/>
              </w:rPr>
            </w:pPr>
            <w:r>
              <w:rPr>
                <w:rFonts w:hint="eastAsia" w:ascii="宋体" w:hAnsi="宋体" w:eastAsia="宋体" w:cs="宋体"/>
                <w:b/>
                <w:color w:val="000000"/>
                <w:kern w:val="0"/>
                <w:sz w:val="24"/>
                <w:szCs w:val="24"/>
              </w:rPr>
              <w:t>重点事项</w:t>
            </w:r>
          </w:p>
        </w:tc>
        <w:tc>
          <w:tcPr>
            <w:tcW w:w="1339"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b/>
                <w:color w:val="000000"/>
                <w:kern w:val="0"/>
                <w:sz w:val="24"/>
                <w:szCs w:val="24"/>
              </w:rPr>
            </w:pPr>
            <w:r>
              <w:rPr>
                <w:rFonts w:hint="eastAsia" w:ascii="宋体" w:hAnsi="宋体" w:eastAsia="宋体" w:cs="宋体"/>
                <w:b/>
                <w:color w:val="000000"/>
                <w:kern w:val="0"/>
                <w:sz w:val="24"/>
                <w:szCs w:val="24"/>
              </w:rPr>
              <w:t>要求</w:t>
            </w:r>
          </w:p>
        </w:tc>
        <w:tc>
          <w:tcPr>
            <w:tcW w:w="964"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b/>
                <w:color w:val="000000"/>
                <w:kern w:val="0"/>
                <w:sz w:val="24"/>
                <w:szCs w:val="24"/>
              </w:rPr>
            </w:pPr>
            <w:r>
              <w:rPr>
                <w:rFonts w:hint="eastAsia" w:ascii="宋体" w:hAnsi="宋体" w:eastAsia="宋体" w:cs="宋体"/>
                <w:b/>
                <w:color w:val="000000"/>
                <w:kern w:val="0"/>
                <w:sz w:val="24"/>
                <w:szCs w:val="24"/>
              </w:rPr>
              <w:t>实施方式</w:t>
            </w:r>
          </w:p>
        </w:tc>
      </w:tr>
      <w:tr>
        <w:tblPrEx>
          <w:tblCellMar>
            <w:top w:w="0" w:type="dxa"/>
            <w:left w:w="108" w:type="dxa"/>
            <w:bottom w:w="0" w:type="dxa"/>
            <w:right w:w="108" w:type="dxa"/>
          </w:tblCellMar>
        </w:tblPrEx>
        <w:trPr>
          <w:trHeight w:val="1069" w:hRule="atLeast"/>
          <w:jc w:val="center"/>
        </w:trPr>
        <w:tc>
          <w:tcPr>
            <w:tcW w:w="769"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b/>
                <w:color w:val="000000"/>
                <w:kern w:val="0"/>
                <w:sz w:val="24"/>
                <w:szCs w:val="24"/>
              </w:rPr>
            </w:pPr>
            <w:r>
              <w:rPr>
                <w:rFonts w:hint="eastAsia" w:ascii="仿宋_GB2312" w:hAnsi="宋体" w:eastAsia="仿宋_GB2312" w:cs="宋体"/>
                <w:b/>
                <w:color w:val="000000"/>
                <w:kern w:val="0"/>
                <w:sz w:val="24"/>
                <w:szCs w:val="24"/>
              </w:rPr>
              <w:t>国有企业</w:t>
            </w:r>
          </w:p>
          <w:p>
            <w:pPr>
              <w:widowControl/>
              <w:jc w:val="center"/>
              <w:rPr>
                <w:rFonts w:ascii="仿宋_GB2312" w:hAnsi="宋体" w:eastAsia="仿宋_GB2312" w:cs="宋体"/>
                <w:b/>
                <w:color w:val="000000"/>
                <w:kern w:val="0"/>
                <w:sz w:val="24"/>
                <w:szCs w:val="24"/>
              </w:rPr>
            </w:pPr>
            <w:r>
              <w:rPr>
                <w:rFonts w:hint="eastAsia" w:ascii="仿宋_GB2312" w:hAnsi="宋体" w:eastAsia="仿宋_GB2312" w:cs="宋体"/>
                <w:b/>
                <w:color w:val="000000"/>
                <w:kern w:val="0"/>
                <w:sz w:val="24"/>
                <w:szCs w:val="24"/>
              </w:rPr>
              <w:t>审计</w:t>
            </w:r>
          </w:p>
        </w:tc>
        <w:tc>
          <w:tcPr>
            <w:tcW w:w="479" w:type="pct"/>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审计对象</w:t>
            </w:r>
          </w:p>
        </w:tc>
        <w:tc>
          <w:tcPr>
            <w:tcW w:w="1446" w:type="pct"/>
            <w:tcBorders>
              <w:top w:val="nil"/>
              <w:left w:val="nil"/>
              <w:bottom w:val="single" w:color="auto" w:sz="4" w:space="0"/>
              <w:right w:val="single" w:color="auto" w:sz="4" w:space="0"/>
            </w:tcBorders>
            <w:shd w:val="clear" w:color="auto" w:fill="auto"/>
            <w:vAlign w:val="center"/>
          </w:tcPr>
          <w:p>
            <w:pPr>
              <w:widowControl/>
              <w:jc w:val="both"/>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lang w:eastAsia="zh-CN"/>
              </w:rPr>
              <w:t>区</w:t>
            </w:r>
            <w:r>
              <w:rPr>
                <w:rFonts w:hint="eastAsia" w:ascii="仿宋_GB2312" w:hAnsi="宋体" w:eastAsia="仿宋_GB2312" w:cs="宋体"/>
                <w:color w:val="000000"/>
                <w:kern w:val="0"/>
                <w:sz w:val="24"/>
                <w:szCs w:val="24"/>
              </w:rPr>
              <w:t>国资委直接监管的国有企业。</w:t>
            </w:r>
          </w:p>
        </w:tc>
        <w:tc>
          <w:tcPr>
            <w:tcW w:w="1339"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both"/>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每年围绕上级要求和</w:t>
            </w:r>
            <w:r>
              <w:rPr>
                <w:rFonts w:hint="eastAsia" w:ascii="仿宋_GB2312" w:hAnsi="宋体" w:eastAsia="仿宋_GB2312" w:cs="宋体"/>
                <w:color w:val="000000"/>
                <w:kern w:val="0"/>
                <w:sz w:val="24"/>
                <w:szCs w:val="24"/>
                <w:lang w:eastAsia="zh-CN"/>
              </w:rPr>
              <w:t>区</w:t>
            </w:r>
            <w:r>
              <w:rPr>
                <w:rFonts w:hint="eastAsia" w:ascii="仿宋_GB2312" w:hAnsi="宋体" w:eastAsia="仿宋_GB2312" w:cs="宋体"/>
                <w:color w:val="000000"/>
                <w:kern w:val="0"/>
                <w:sz w:val="24"/>
                <w:szCs w:val="24"/>
              </w:rPr>
              <w:t>委、</w:t>
            </w:r>
            <w:r>
              <w:rPr>
                <w:rFonts w:hint="eastAsia" w:ascii="仿宋_GB2312" w:hAnsi="宋体" w:eastAsia="仿宋_GB2312" w:cs="宋体"/>
                <w:color w:val="000000"/>
                <w:kern w:val="0"/>
                <w:sz w:val="24"/>
                <w:szCs w:val="24"/>
                <w:lang w:eastAsia="zh-CN"/>
              </w:rPr>
              <w:t>区</w:t>
            </w:r>
            <w:r>
              <w:rPr>
                <w:rFonts w:hint="eastAsia" w:ascii="仿宋_GB2312" w:hAnsi="宋体" w:eastAsia="仿宋_GB2312" w:cs="宋体"/>
                <w:color w:val="000000"/>
                <w:kern w:val="0"/>
                <w:sz w:val="24"/>
                <w:szCs w:val="24"/>
              </w:rPr>
              <w:t>政府重点任务选择若干政策、若干资金开展审计。</w:t>
            </w:r>
          </w:p>
        </w:tc>
        <w:tc>
          <w:tcPr>
            <w:tcW w:w="96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both"/>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采取聘请第三方中介机构等方式实施。</w:t>
            </w:r>
          </w:p>
        </w:tc>
      </w:tr>
      <w:tr>
        <w:tblPrEx>
          <w:tblCellMar>
            <w:top w:w="0" w:type="dxa"/>
            <w:left w:w="108" w:type="dxa"/>
            <w:bottom w:w="0" w:type="dxa"/>
            <w:right w:w="108" w:type="dxa"/>
          </w:tblCellMar>
        </w:tblPrEx>
        <w:trPr>
          <w:trHeight w:val="1977" w:hRule="atLeast"/>
          <w:jc w:val="center"/>
        </w:trPr>
        <w:tc>
          <w:tcPr>
            <w:tcW w:w="769" w:type="pct"/>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color w:val="000000"/>
                <w:kern w:val="0"/>
                <w:sz w:val="24"/>
                <w:szCs w:val="24"/>
              </w:rPr>
            </w:pPr>
          </w:p>
        </w:tc>
        <w:tc>
          <w:tcPr>
            <w:tcW w:w="479" w:type="pct"/>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重点关注政策</w:t>
            </w:r>
          </w:p>
        </w:tc>
        <w:tc>
          <w:tcPr>
            <w:tcW w:w="1446" w:type="pct"/>
            <w:tcBorders>
              <w:top w:val="nil"/>
              <w:left w:val="nil"/>
              <w:bottom w:val="single" w:color="auto" w:sz="4" w:space="0"/>
              <w:right w:val="single" w:color="auto" w:sz="4" w:space="0"/>
            </w:tcBorders>
            <w:shd w:val="clear" w:color="auto" w:fill="auto"/>
            <w:vAlign w:val="center"/>
          </w:tcPr>
          <w:p>
            <w:pPr>
              <w:widowControl/>
              <w:jc w:val="both"/>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国有资本投资、运营，国企改革，优化企业营商环境、“三重一大”决策制度、防范化解风险等重大政策措施。</w:t>
            </w:r>
          </w:p>
        </w:tc>
        <w:tc>
          <w:tcPr>
            <w:tcW w:w="1339" w:type="pct"/>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24"/>
                <w:szCs w:val="24"/>
              </w:rPr>
            </w:pPr>
          </w:p>
        </w:tc>
        <w:tc>
          <w:tcPr>
            <w:tcW w:w="964" w:type="pct"/>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24"/>
                <w:szCs w:val="24"/>
              </w:rPr>
            </w:pPr>
          </w:p>
        </w:tc>
      </w:tr>
      <w:tr>
        <w:tblPrEx>
          <w:tblCellMar>
            <w:top w:w="0" w:type="dxa"/>
            <w:left w:w="108" w:type="dxa"/>
            <w:bottom w:w="0" w:type="dxa"/>
            <w:right w:w="108" w:type="dxa"/>
          </w:tblCellMar>
        </w:tblPrEx>
        <w:trPr>
          <w:trHeight w:val="1260" w:hRule="atLeast"/>
          <w:jc w:val="center"/>
        </w:trPr>
        <w:tc>
          <w:tcPr>
            <w:tcW w:w="769" w:type="pct"/>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color w:val="000000"/>
                <w:kern w:val="0"/>
                <w:sz w:val="24"/>
                <w:szCs w:val="24"/>
              </w:rPr>
            </w:pPr>
          </w:p>
        </w:tc>
        <w:tc>
          <w:tcPr>
            <w:tcW w:w="479" w:type="pct"/>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重点关注资金</w:t>
            </w:r>
          </w:p>
        </w:tc>
        <w:tc>
          <w:tcPr>
            <w:tcW w:w="1446" w:type="pct"/>
            <w:tcBorders>
              <w:top w:val="nil"/>
              <w:left w:val="nil"/>
              <w:bottom w:val="single" w:color="auto" w:sz="4" w:space="0"/>
              <w:right w:val="single" w:color="auto" w:sz="4" w:space="0"/>
            </w:tcBorders>
            <w:shd w:val="clear" w:color="auto" w:fill="auto"/>
            <w:vAlign w:val="center"/>
          </w:tcPr>
          <w:p>
            <w:pPr>
              <w:widowControl/>
              <w:jc w:val="both"/>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涉企领域财政专项资金。</w:t>
            </w:r>
          </w:p>
        </w:tc>
        <w:tc>
          <w:tcPr>
            <w:tcW w:w="1339" w:type="pct"/>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24"/>
                <w:szCs w:val="24"/>
              </w:rPr>
            </w:pPr>
          </w:p>
        </w:tc>
        <w:tc>
          <w:tcPr>
            <w:tcW w:w="964" w:type="pct"/>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24"/>
                <w:szCs w:val="24"/>
              </w:rPr>
            </w:pPr>
          </w:p>
        </w:tc>
      </w:tr>
      <w:tr>
        <w:tblPrEx>
          <w:tblCellMar>
            <w:top w:w="0" w:type="dxa"/>
            <w:left w:w="108" w:type="dxa"/>
            <w:bottom w:w="0" w:type="dxa"/>
            <w:right w:w="108" w:type="dxa"/>
          </w:tblCellMar>
        </w:tblPrEx>
        <w:trPr>
          <w:trHeight w:val="1123" w:hRule="atLeast"/>
          <w:jc w:val="center"/>
        </w:trPr>
        <w:tc>
          <w:tcPr>
            <w:tcW w:w="769"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b/>
                <w:color w:val="000000"/>
                <w:kern w:val="0"/>
                <w:sz w:val="24"/>
                <w:szCs w:val="24"/>
              </w:rPr>
            </w:pPr>
            <w:r>
              <w:rPr>
                <w:rFonts w:hint="eastAsia" w:ascii="仿宋_GB2312" w:hAnsi="宋体" w:eastAsia="仿宋_GB2312" w:cs="宋体"/>
                <w:b/>
                <w:color w:val="000000"/>
                <w:kern w:val="0"/>
                <w:sz w:val="24"/>
                <w:szCs w:val="24"/>
              </w:rPr>
              <w:t>经济责任</w:t>
            </w:r>
          </w:p>
          <w:p>
            <w:pPr>
              <w:widowControl/>
              <w:jc w:val="center"/>
              <w:rPr>
                <w:rFonts w:ascii="仿宋_GB2312" w:hAnsi="宋体" w:eastAsia="仿宋_GB2312" w:cs="宋体"/>
                <w:b/>
                <w:color w:val="000000"/>
                <w:kern w:val="0"/>
                <w:sz w:val="24"/>
                <w:szCs w:val="24"/>
              </w:rPr>
            </w:pPr>
            <w:r>
              <w:rPr>
                <w:rFonts w:hint="eastAsia" w:ascii="仿宋_GB2312" w:hAnsi="宋体" w:eastAsia="仿宋_GB2312" w:cs="宋体"/>
                <w:b/>
                <w:color w:val="000000"/>
                <w:kern w:val="0"/>
                <w:sz w:val="24"/>
                <w:szCs w:val="24"/>
              </w:rPr>
              <w:t>审计</w:t>
            </w:r>
          </w:p>
        </w:tc>
        <w:tc>
          <w:tcPr>
            <w:tcW w:w="479"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审计对象</w:t>
            </w:r>
          </w:p>
        </w:tc>
        <w:tc>
          <w:tcPr>
            <w:tcW w:w="1446" w:type="pct"/>
            <w:tcBorders>
              <w:top w:val="nil"/>
              <w:left w:val="nil"/>
              <w:bottom w:val="single" w:color="auto" w:sz="4" w:space="0"/>
              <w:right w:val="single" w:color="auto" w:sz="4" w:space="0"/>
            </w:tcBorders>
            <w:shd w:val="clear" w:color="auto" w:fill="auto"/>
            <w:vAlign w:val="center"/>
          </w:tcPr>
          <w:p>
            <w:pPr>
              <w:widowControl/>
              <w:jc w:val="both"/>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镇</w:t>
            </w:r>
            <w:r>
              <w:rPr>
                <w:rFonts w:hint="eastAsia" w:ascii="仿宋_GB2312" w:hAnsi="宋体" w:eastAsia="仿宋_GB2312" w:cs="宋体"/>
                <w:color w:val="000000"/>
                <w:kern w:val="0"/>
                <w:sz w:val="24"/>
                <w:szCs w:val="24"/>
                <w:lang w:eastAsia="zh-CN"/>
              </w:rPr>
              <w:t>、街道</w:t>
            </w:r>
            <w:r>
              <w:rPr>
                <w:rFonts w:hint="eastAsia" w:ascii="仿宋_GB2312" w:hAnsi="宋体" w:eastAsia="仿宋_GB2312" w:cs="宋体"/>
                <w:color w:val="000000"/>
                <w:kern w:val="0"/>
                <w:sz w:val="24"/>
                <w:szCs w:val="24"/>
              </w:rPr>
              <w:t>党政主要领导干部。</w:t>
            </w:r>
          </w:p>
        </w:tc>
        <w:tc>
          <w:tcPr>
            <w:tcW w:w="1339" w:type="pct"/>
            <w:vMerge w:val="restart"/>
            <w:tcBorders>
              <w:top w:val="nil"/>
              <w:left w:val="single" w:color="auto" w:sz="4" w:space="0"/>
              <w:right w:val="single" w:color="auto" w:sz="4" w:space="0"/>
            </w:tcBorders>
            <w:shd w:val="clear" w:color="auto" w:fill="auto"/>
            <w:vAlign w:val="center"/>
          </w:tcPr>
          <w:p>
            <w:pPr>
              <w:widowControl/>
              <w:jc w:val="both"/>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按照《党政主要领导干部和国有企事业单位主要领导人员经济责任审计规定》，对其中符合条件的镇</w:t>
            </w:r>
            <w:r>
              <w:rPr>
                <w:rFonts w:hint="eastAsia" w:ascii="仿宋_GB2312" w:hAnsi="宋体" w:eastAsia="仿宋_GB2312" w:cs="宋体"/>
                <w:color w:val="000000"/>
                <w:kern w:val="0"/>
                <w:sz w:val="24"/>
                <w:szCs w:val="24"/>
                <w:lang w:eastAsia="zh-CN"/>
              </w:rPr>
              <w:t>、街道</w:t>
            </w:r>
            <w:r>
              <w:rPr>
                <w:rFonts w:hint="eastAsia" w:ascii="仿宋_GB2312" w:hAnsi="宋体" w:eastAsia="仿宋_GB2312" w:cs="宋体"/>
                <w:color w:val="000000"/>
                <w:kern w:val="0"/>
                <w:sz w:val="24"/>
                <w:szCs w:val="24"/>
              </w:rPr>
              <w:t>、重点部门、单位以及关键岗位的党政主要领导干部和企业领导人员开展经济责任审计，力争5 年轮审1遍。</w:t>
            </w:r>
          </w:p>
        </w:tc>
        <w:tc>
          <w:tcPr>
            <w:tcW w:w="96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both"/>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受</w:t>
            </w:r>
            <w:r>
              <w:rPr>
                <w:rFonts w:hint="eastAsia" w:ascii="仿宋_GB2312" w:hAnsi="宋体" w:eastAsia="仿宋_GB2312" w:cs="宋体"/>
                <w:color w:val="000000"/>
                <w:kern w:val="0"/>
                <w:sz w:val="24"/>
                <w:szCs w:val="24"/>
                <w:lang w:eastAsia="zh-CN"/>
              </w:rPr>
              <w:t>区</w:t>
            </w:r>
            <w:r>
              <w:rPr>
                <w:rFonts w:hint="eastAsia" w:ascii="仿宋_GB2312" w:hAnsi="宋体" w:eastAsia="仿宋_GB2312" w:cs="宋体"/>
                <w:color w:val="000000"/>
                <w:kern w:val="0"/>
                <w:sz w:val="24"/>
                <w:szCs w:val="24"/>
              </w:rPr>
              <w:t>委组织部委托，</w:t>
            </w:r>
            <w:r>
              <w:rPr>
                <w:rFonts w:hint="eastAsia" w:ascii="仿宋_GB2312" w:hAnsi="宋体" w:eastAsia="仿宋_GB2312" w:cs="宋体"/>
                <w:color w:val="000000"/>
                <w:kern w:val="0"/>
                <w:sz w:val="24"/>
                <w:szCs w:val="24"/>
                <w:lang w:eastAsia="zh-CN"/>
              </w:rPr>
              <w:t>区</w:t>
            </w:r>
            <w:r>
              <w:rPr>
                <w:rFonts w:hint="eastAsia" w:ascii="仿宋_GB2312" w:hAnsi="宋体" w:eastAsia="仿宋_GB2312" w:cs="宋体"/>
                <w:color w:val="000000"/>
                <w:kern w:val="0"/>
                <w:sz w:val="24"/>
                <w:szCs w:val="24"/>
              </w:rPr>
              <w:t>审计局统一组织实施。</w:t>
            </w:r>
          </w:p>
        </w:tc>
      </w:tr>
      <w:tr>
        <w:tblPrEx>
          <w:tblCellMar>
            <w:top w:w="0" w:type="dxa"/>
            <w:left w:w="108" w:type="dxa"/>
            <w:bottom w:w="0" w:type="dxa"/>
            <w:right w:w="108" w:type="dxa"/>
          </w:tblCellMar>
        </w:tblPrEx>
        <w:trPr>
          <w:trHeight w:val="1550" w:hRule="atLeast"/>
          <w:jc w:val="center"/>
        </w:trPr>
        <w:tc>
          <w:tcPr>
            <w:tcW w:w="769" w:type="pct"/>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24"/>
                <w:szCs w:val="24"/>
              </w:rPr>
            </w:pPr>
          </w:p>
        </w:tc>
        <w:tc>
          <w:tcPr>
            <w:tcW w:w="479" w:type="pct"/>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24"/>
                <w:szCs w:val="24"/>
              </w:rPr>
            </w:pPr>
          </w:p>
        </w:tc>
        <w:tc>
          <w:tcPr>
            <w:tcW w:w="1446" w:type="pct"/>
            <w:tcBorders>
              <w:top w:val="nil"/>
              <w:left w:val="nil"/>
              <w:bottom w:val="single" w:color="auto" w:sz="4" w:space="0"/>
              <w:right w:val="single" w:color="auto" w:sz="4" w:space="0"/>
            </w:tcBorders>
            <w:shd w:val="clear" w:color="auto" w:fill="auto"/>
            <w:vAlign w:val="center"/>
          </w:tcPr>
          <w:p>
            <w:pPr>
              <w:widowControl/>
              <w:jc w:val="both"/>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全</w:t>
            </w:r>
            <w:r>
              <w:rPr>
                <w:rFonts w:hint="eastAsia" w:ascii="仿宋_GB2312" w:hAnsi="宋体" w:eastAsia="仿宋_GB2312" w:cs="宋体"/>
                <w:color w:val="000000"/>
                <w:kern w:val="0"/>
                <w:sz w:val="24"/>
                <w:szCs w:val="24"/>
                <w:lang w:eastAsia="zh-CN"/>
              </w:rPr>
              <w:t>区</w:t>
            </w:r>
            <w:r>
              <w:rPr>
                <w:rFonts w:hint="eastAsia" w:ascii="仿宋_GB2312" w:hAnsi="宋体" w:eastAsia="仿宋_GB2312" w:cs="宋体"/>
                <w:color w:val="000000"/>
                <w:kern w:val="0"/>
                <w:sz w:val="24"/>
                <w:szCs w:val="24"/>
              </w:rPr>
              <w:t>党政工作部门、事业单位和人民团体主要领导干部。</w:t>
            </w:r>
          </w:p>
        </w:tc>
        <w:tc>
          <w:tcPr>
            <w:tcW w:w="1339" w:type="pct"/>
            <w:vMerge w:val="continue"/>
            <w:tcBorders>
              <w:left w:val="single" w:color="auto" w:sz="4" w:space="0"/>
              <w:right w:val="single" w:color="auto" w:sz="4" w:space="0"/>
            </w:tcBorders>
            <w:vAlign w:val="center"/>
          </w:tcPr>
          <w:p>
            <w:pPr>
              <w:widowControl/>
              <w:jc w:val="left"/>
              <w:rPr>
                <w:rFonts w:ascii="仿宋_GB2312" w:hAnsi="宋体" w:eastAsia="仿宋_GB2312" w:cs="宋体"/>
                <w:color w:val="000000"/>
                <w:kern w:val="0"/>
                <w:sz w:val="24"/>
                <w:szCs w:val="24"/>
              </w:rPr>
            </w:pPr>
          </w:p>
        </w:tc>
        <w:tc>
          <w:tcPr>
            <w:tcW w:w="964" w:type="pct"/>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24"/>
                <w:szCs w:val="24"/>
              </w:rPr>
            </w:pPr>
          </w:p>
        </w:tc>
      </w:tr>
      <w:tr>
        <w:tblPrEx>
          <w:tblCellMar>
            <w:top w:w="0" w:type="dxa"/>
            <w:left w:w="108" w:type="dxa"/>
            <w:bottom w:w="0" w:type="dxa"/>
            <w:right w:w="108" w:type="dxa"/>
          </w:tblCellMar>
        </w:tblPrEx>
        <w:trPr>
          <w:trHeight w:val="1571" w:hRule="atLeast"/>
          <w:jc w:val="center"/>
        </w:trPr>
        <w:tc>
          <w:tcPr>
            <w:tcW w:w="769" w:type="pct"/>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24"/>
                <w:szCs w:val="24"/>
              </w:rPr>
            </w:pPr>
          </w:p>
        </w:tc>
        <w:tc>
          <w:tcPr>
            <w:tcW w:w="479" w:type="pct"/>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24"/>
                <w:szCs w:val="24"/>
              </w:rPr>
            </w:pPr>
          </w:p>
        </w:tc>
        <w:tc>
          <w:tcPr>
            <w:tcW w:w="1446" w:type="pct"/>
            <w:tcBorders>
              <w:top w:val="nil"/>
              <w:left w:val="nil"/>
              <w:bottom w:val="single" w:color="auto" w:sz="4" w:space="0"/>
              <w:right w:val="single" w:color="auto" w:sz="4" w:space="0"/>
            </w:tcBorders>
            <w:shd w:val="clear" w:color="auto" w:fill="auto"/>
            <w:vAlign w:val="center"/>
          </w:tcPr>
          <w:p>
            <w:pPr>
              <w:widowControl/>
              <w:jc w:val="both"/>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lang w:eastAsia="zh-CN"/>
              </w:rPr>
              <w:t>区</w:t>
            </w:r>
            <w:r>
              <w:rPr>
                <w:rFonts w:hint="eastAsia" w:ascii="仿宋_GB2312" w:hAnsi="宋体" w:eastAsia="仿宋_GB2312" w:cs="宋体"/>
                <w:color w:val="000000"/>
                <w:kern w:val="0"/>
                <w:sz w:val="24"/>
                <w:szCs w:val="24"/>
              </w:rPr>
              <w:t>属国有和国有资本占控股地位或主导地位的企业主要领导人员。</w:t>
            </w:r>
          </w:p>
        </w:tc>
        <w:tc>
          <w:tcPr>
            <w:tcW w:w="1339" w:type="pct"/>
            <w:vMerge w:val="continue"/>
            <w:tcBorders>
              <w:left w:val="single" w:color="auto" w:sz="4" w:space="0"/>
              <w:right w:val="single" w:color="auto" w:sz="4" w:space="0"/>
            </w:tcBorders>
            <w:vAlign w:val="center"/>
          </w:tcPr>
          <w:p>
            <w:pPr>
              <w:widowControl/>
              <w:jc w:val="left"/>
              <w:rPr>
                <w:rFonts w:ascii="仿宋_GB2312" w:hAnsi="宋体" w:eastAsia="仿宋_GB2312" w:cs="宋体"/>
                <w:color w:val="000000"/>
                <w:kern w:val="0"/>
                <w:sz w:val="24"/>
                <w:szCs w:val="24"/>
              </w:rPr>
            </w:pPr>
          </w:p>
        </w:tc>
        <w:tc>
          <w:tcPr>
            <w:tcW w:w="964" w:type="pct"/>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24"/>
                <w:szCs w:val="24"/>
              </w:rPr>
            </w:pPr>
          </w:p>
        </w:tc>
      </w:tr>
      <w:tr>
        <w:tblPrEx>
          <w:tblCellMar>
            <w:top w:w="0" w:type="dxa"/>
            <w:left w:w="108" w:type="dxa"/>
            <w:bottom w:w="0" w:type="dxa"/>
            <w:right w:w="108" w:type="dxa"/>
          </w:tblCellMar>
        </w:tblPrEx>
        <w:trPr>
          <w:trHeight w:val="1821" w:hRule="atLeast"/>
          <w:jc w:val="center"/>
        </w:trPr>
        <w:tc>
          <w:tcPr>
            <w:tcW w:w="769" w:type="pct"/>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24"/>
                <w:szCs w:val="24"/>
              </w:rPr>
            </w:pPr>
          </w:p>
        </w:tc>
        <w:tc>
          <w:tcPr>
            <w:tcW w:w="479" w:type="pct"/>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重点关注政策</w:t>
            </w:r>
          </w:p>
        </w:tc>
        <w:tc>
          <w:tcPr>
            <w:tcW w:w="1446" w:type="pct"/>
            <w:tcBorders>
              <w:top w:val="nil"/>
              <w:left w:val="nil"/>
              <w:bottom w:val="single" w:color="auto" w:sz="4" w:space="0"/>
              <w:right w:val="single" w:color="auto" w:sz="4" w:space="0"/>
            </w:tcBorders>
            <w:shd w:val="clear" w:color="auto" w:fill="auto"/>
            <w:vAlign w:val="center"/>
          </w:tcPr>
          <w:p>
            <w:pPr>
              <w:widowControl/>
              <w:jc w:val="both"/>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重点关注贯彻落实党和国家重大经济方针政策和决策部署；</w:t>
            </w:r>
            <w:r>
              <w:rPr>
                <w:rFonts w:hint="eastAsia" w:ascii="仿宋_GB2312" w:hAnsi="宋体" w:eastAsia="仿宋_GB2312" w:cs="宋体"/>
                <w:color w:val="000000"/>
                <w:kern w:val="0"/>
                <w:sz w:val="24"/>
                <w:szCs w:val="24"/>
                <w:lang w:eastAsia="zh-CN"/>
              </w:rPr>
              <w:t>自治区</w:t>
            </w:r>
            <w:r>
              <w:rPr>
                <w:rFonts w:hint="eastAsia" w:ascii="仿宋_GB2312" w:hAnsi="宋体" w:eastAsia="仿宋_GB2312" w:cs="宋体"/>
                <w:color w:val="000000"/>
                <w:kern w:val="0"/>
                <w:sz w:val="24"/>
                <w:szCs w:val="24"/>
              </w:rPr>
              <w:t>党委、市委和</w:t>
            </w:r>
            <w:r>
              <w:rPr>
                <w:rFonts w:hint="eastAsia" w:ascii="仿宋_GB2312" w:hAnsi="宋体" w:eastAsia="仿宋_GB2312" w:cs="宋体"/>
                <w:color w:val="000000"/>
                <w:kern w:val="0"/>
                <w:sz w:val="24"/>
                <w:szCs w:val="24"/>
                <w:lang w:eastAsia="zh-CN"/>
              </w:rPr>
              <w:t>区</w:t>
            </w:r>
            <w:r>
              <w:rPr>
                <w:rFonts w:hint="eastAsia" w:ascii="仿宋_GB2312" w:hAnsi="宋体" w:eastAsia="仿宋_GB2312" w:cs="宋体"/>
                <w:color w:val="000000"/>
                <w:kern w:val="0"/>
                <w:sz w:val="24"/>
                <w:szCs w:val="24"/>
              </w:rPr>
              <w:t>委部署。</w:t>
            </w:r>
          </w:p>
        </w:tc>
        <w:tc>
          <w:tcPr>
            <w:tcW w:w="1339" w:type="pct"/>
            <w:vMerge w:val="continue"/>
            <w:tcBorders>
              <w:left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szCs w:val="24"/>
              </w:rPr>
            </w:pPr>
          </w:p>
        </w:tc>
        <w:tc>
          <w:tcPr>
            <w:tcW w:w="964" w:type="pct"/>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24"/>
                <w:szCs w:val="24"/>
              </w:rPr>
            </w:pPr>
          </w:p>
        </w:tc>
      </w:tr>
      <w:tr>
        <w:tblPrEx>
          <w:tblCellMar>
            <w:top w:w="0" w:type="dxa"/>
            <w:left w:w="108" w:type="dxa"/>
            <w:bottom w:w="0" w:type="dxa"/>
            <w:right w:w="108" w:type="dxa"/>
          </w:tblCellMar>
        </w:tblPrEx>
        <w:trPr>
          <w:trHeight w:val="1255" w:hRule="atLeast"/>
          <w:jc w:val="center"/>
        </w:trPr>
        <w:tc>
          <w:tcPr>
            <w:tcW w:w="769" w:type="pct"/>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24"/>
                <w:szCs w:val="24"/>
              </w:rPr>
            </w:pPr>
          </w:p>
        </w:tc>
        <w:tc>
          <w:tcPr>
            <w:tcW w:w="479" w:type="pct"/>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重点关注资金</w:t>
            </w:r>
          </w:p>
        </w:tc>
        <w:tc>
          <w:tcPr>
            <w:tcW w:w="1446" w:type="pct"/>
            <w:tcBorders>
              <w:top w:val="nil"/>
              <w:left w:val="nil"/>
              <w:bottom w:val="single" w:color="auto" w:sz="4" w:space="0"/>
              <w:right w:val="single" w:color="auto" w:sz="4" w:space="0"/>
            </w:tcBorders>
            <w:shd w:val="clear" w:color="auto" w:fill="auto"/>
            <w:vAlign w:val="center"/>
          </w:tcPr>
          <w:p>
            <w:pPr>
              <w:widowControl/>
              <w:jc w:val="both"/>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领导干部经济责任领域财政专项资金。</w:t>
            </w:r>
          </w:p>
        </w:tc>
        <w:tc>
          <w:tcPr>
            <w:tcW w:w="1339" w:type="pct"/>
            <w:vMerge w:val="continue"/>
            <w:tcBorders>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szCs w:val="24"/>
              </w:rPr>
            </w:pPr>
          </w:p>
        </w:tc>
        <w:tc>
          <w:tcPr>
            <w:tcW w:w="964" w:type="pct"/>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24"/>
                <w:szCs w:val="24"/>
              </w:rPr>
            </w:pPr>
          </w:p>
        </w:tc>
      </w:tr>
    </w:tbl>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eastAsia="仿宋_GB2312"/>
          <w:color w:val="000000" w:themeColor="text1"/>
          <w:sz w:val="32"/>
          <w:szCs w:val="32"/>
          <w:lang w:val="en-US" w:eastAsia="zh-CN"/>
          <w14:textFill>
            <w14:solidFill>
              <w14:schemeClr w14:val="tx1"/>
            </w14:solidFill>
          </w14:textFill>
        </w:rPr>
      </w:pPr>
      <w:r>
        <w:rPr>
          <w:rFonts w:hint="eastAsia" w:ascii="仿宋_GB2312" w:eastAsia="仿宋_GB2312"/>
          <w:color w:val="000000" w:themeColor="text1"/>
          <w:sz w:val="32"/>
          <w:szCs w:val="32"/>
          <w:lang w:eastAsia="zh-CN"/>
          <w14:textFill>
            <w14:solidFill>
              <w14:schemeClr w14:val="tx1"/>
            </w14:solidFill>
          </w14:textFill>
        </w:rPr>
        <w:t>附件</w:t>
      </w:r>
      <w:r>
        <w:rPr>
          <w:rFonts w:hint="eastAsia" w:ascii="仿宋_GB2312" w:eastAsia="仿宋_GB2312"/>
          <w:color w:val="000000" w:themeColor="text1"/>
          <w:sz w:val="32"/>
          <w:szCs w:val="32"/>
          <w:lang w:val="en-US" w:eastAsia="zh-CN"/>
          <w14:textFill>
            <w14:solidFill>
              <w14:schemeClr w14:val="tx1"/>
            </w14:solidFill>
          </w14:textFill>
        </w:rPr>
        <w:t>2</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小标宋简体" w:hAnsi="方正小标宋简体" w:eastAsia="方正小标宋简体" w:cs="方正小标宋简体"/>
          <w:color w:val="000000" w:themeColor="text1"/>
          <w:sz w:val="36"/>
          <w:szCs w:val="36"/>
          <w:lang w:eastAsia="zh-CN"/>
          <w14:textFill>
            <w14:solidFill>
              <w14:schemeClr w14:val="tx1"/>
            </w14:solidFill>
          </w14:textFill>
        </w:rPr>
      </w:pPr>
      <w:r>
        <w:rPr>
          <w:rFonts w:hint="eastAsia" w:ascii="方正小标宋简体" w:hAnsi="方正小标宋简体" w:eastAsia="方正小标宋简体" w:cs="方正小标宋简体"/>
          <w:color w:val="000000" w:themeColor="text1"/>
          <w:sz w:val="36"/>
          <w:szCs w:val="36"/>
          <w:lang w:eastAsia="zh-CN"/>
          <w14:textFill>
            <w14:solidFill>
              <w14:schemeClr w14:val="tx1"/>
            </w14:solidFill>
          </w14:textFill>
        </w:rPr>
        <w:t>赛罕区“十四五”时期审计工作发展目标</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center"/>
        <w:textAlignment w:val="auto"/>
        <w:rPr>
          <w:rFonts w:hint="eastAsia" w:ascii="仿宋_GB2312" w:hAnsi="仿宋_GB2312" w:eastAsia="仿宋_GB2312" w:cs="仿宋_GB2312"/>
          <w:color w:val="000000" w:themeColor="text1"/>
          <w:sz w:val="24"/>
          <w:szCs w:val="24"/>
          <w:lang w:eastAsia="zh-CN"/>
          <w14:textFill>
            <w14:solidFill>
              <w14:schemeClr w14:val="tx1"/>
            </w14:solidFill>
          </w14:textFill>
        </w:rPr>
      </w:pPr>
    </w:p>
    <w:tbl>
      <w:tblPr>
        <w:tblStyle w:val="9"/>
        <w:tblW w:w="9553" w:type="dxa"/>
        <w:tblInd w:w="-2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83"/>
        <w:gridCol w:w="828"/>
        <w:gridCol w:w="3589"/>
        <w:gridCol w:w="26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248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color w:val="000000" w:themeColor="text1"/>
                <w:sz w:val="24"/>
                <w:szCs w:val="24"/>
                <w:vertAlign w:val="baseline"/>
                <w:lang w:eastAsia="zh-CN"/>
                <w14:textFill>
                  <w14:solidFill>
                    <w14:schemeClr w14:val="tx1"/>
                  </w14:solidFill>
                </w14:textFill>
              </w:rPr>
            </w:pPr>
            <w:r>
              <w:rPr>
                <w:rFonts w:hint="eastAsia" w:ascii="宋体" w:hAnsi="宋体" w:eastAsia="宋体" w:cs="宋体"/>
                <w:b/>
                <w:bCs/>
                <w:color w:val="000000" w:themeColor="text1"/>
                <w:sz w:val="24"/>
                <w:szCs w:val="24"/>
                <w:vertAlign w:val="baseline"/>
                <w:lang w:eastAsia="zh-CN"/>
                <w14:textFill>
                  <w14:solidFill>
                    <w14:schemeClr w14:val="tx1"/>
                  </w14:solidFill>
                </w14:textFill>
              </w:rPr>
              <w:t>发展目标</w:t>
            </w:r>
          </w:p>
        </w:tc>
        <w:tc>
          <w:tcPr>
            <w:tcW w:w="82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color w:val="000000" w:themeColor="text1"/>
                <w:sz w:val="24"/>
                <w:szCs w:val="24"/>
                <w:vertAlign w:val="baseline"/>
                <w:lang w:eastAsia="zh-CN"/>
                <w14:textFill>
                  <w14:solidFill>
                    <w14:schemeClr w14:val="tx1"/>
                  </w14:solidFill>
                </w14:textFill>
              </w:rPr>
            </w:pPr>
            <w:r>
              <w:rPr>
                <w:rFonts w:hint="eastAsia" w:ascii="宋体" w:hAnsi="宋体" w:eastAsia="宋体" w:cs="宋体"/>
                <w:b/>
                <w:bCs/>
                <w:color w:val="000000" w:themeColor="text1"/>
                <w:sz w:val="24"/>
                <w:szCs w:val="24"/>
                <w:vertAlign w:val="baseline"/>
                <w:lang w:eastAsia="zh-CN"/>
                <w14:textFill>
                  <w14:solidFill>
                    <w14:schemeClr w14:val="tx1"/>
                  </w14:solidFill>
                </w14:textFill>
              </w:rPr>
              <w:t>序号</w:t>
            </w:r>
          </w:p>
        </w:tc>
        <w:tc>
          <w:tcPr>
            <w:tcW w:w="358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color w:val="000000" w:themeColor="text1"/>
                <w:sz w:val="24"/>
                <w:szCs w:val="24"/>
                <w:vertAlign w:val="baseline"/>
                <w:lang w:eastAsia="zh-CN"/>
                <w14:textFill>
                  <w14:solidFill>
                    <w14:schemeClr w14:val="tx1"/>
                  </w14:solidFill>
                </w14:textFill>
              </w:rPr>
            </w:pPr>
            <w:r>
              <w:rPr>
                <w:rFonts w:hint="eastAsia" w:ascii="宋体" w:hAnsi="宋体" w:eastAsia="宋体" w:cs="宋体"/>
                <w:b/>
                <w:bCs/>
                <w:color w:val="000000" w:themeColor="text1"/>
                <w:sz w:val="24"/>
                <w:szCs w:val="24"/>
                <w:vertAlign w:val="baseline"/>
                <w:lang w:eastAsia="zh-CN"/>
                <w14:textFill>
                  <w14:solidFill>
                    <w14:schemeClr w14:val="tx1"/>
                  </w14:solidFill>
                </w14:textFill>
              </w:rPr>
              <w:t>重点事项</w:t>
            </w:r>
          </w:p>
        </w:tc>
        <w:tc>
          <w:tcPr>
            <w:tcW w:w="265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color w:val="000000" w:themeColor="text1"/>
                <w:sz w:val="24"/>
                <w:szCs w:val="24"/>
                <w:vertAlign w:val="baseline"/>
                <w:lang w:eastAsia="zh-CN"/>
                <w14:textFill>
                  <w14:solidFill>
                    <w14:schemeClr w14:val="tx1"/>
                  </w14:solidFill>
                </w14:textFill>
              </w:rPr>
            </w:pPr>
            <w:r>
              <w:rPr>
                <w:rFonts w:hint="eastAsia" w:ascii="宋体" w:hAnsi="宋体" w:eastAsia="宋体" w:cs="宋体"/>
                <w:b/>
                <w:bCs/>
                <w:color w:val="000000" w:themeColor="text1"/>
                <w:sz w:val="24"/>
                <w:szCs w:val="24"/>
                <w:vertAlign w:val="baseline"/>
                <w:lang w:eastAsia="zh-CN"/>
                <w14:textFill>
                  <w14:solidFill>
                    <w14:schemeClr w14:val="tx1"/>
                  </w14:solidFill>
                </w14:textFill>
              </w:rPr>
              <w:t>量化指标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2483"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color w:val="000000" w:themeColor="text1"/>
                <w:sz w:val="24"/>
                <w:szCs w:val="24"/>
                <w:vertAlign w:val="baseline"/>
                <w:lang w:eastAsia="zh-CN"/>
                <w14:textFill>
                  <w14:solidFill>
                    <w14:schemeClr w14:val="tx1"/>
                  </w14:solidFill>
                </w14:textFill>
              </w:rPr>
            </w:pPr>
            <w:r>
              <w:rPr>
                <w:rFonts w:hint="eastAsia" w:ascii="宋体" w:hAnsi="宋体" w:eastAsia="宋体" w:cs="宋体"/>
                <w:b/>
                <w:bCs/>
                <w:color w:val="000000" w:themeColor="text1"/>
                <w:sz w:val="24"/>
                <w:szCs w:val="24"/>
                <w:vertAlign w:val="baseline"/>
                <w:lang w:eastAsia="zh-CN"/>
                <w14:textFill>
                  <w14:solidFill>
                    <w14:schemeClr w14:val="tx1"/>
                  </w14:solidFill>
                </w14:textFill>
              </w:rPr>
              <w:t>高起点构建审计</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color w:val="000000" w:themeColor="text1"/>
                <w:sz w:val="24"/>
                <w:szCs w:val="24"/>
                <w:vertAlign w:val="baseline"/>
                <w:lang w:eastAsia="zh-CN"/>
                <w14:textFill>
                  <w14:solidFill>
                    <w14:schemeClr w14:val="tx1"/>
                  </w14:solidFill>
                </w14:textFill>
              </w:rPr>
            </w:pPr>
            <w:r>
              <w:rPr>
                <w:rFonts w:hint="eastAsia" w:ascii="宋体" w:hAnsi="宋体" w:eastAsia="宋体" w:cs="宋体"/>
                <w:b/>
                <w:bCs/>
                <w:color w:val="000000" w:themeColor="text1"/>
                <w:sz w:val="24"/>
                <w:szCs w:val="24"/>
                <w:vertAlign w:val="baseline"/>
                <w:lang w:eastAsia="zh-CN"/>
                <w14:textFill>
                  <w14:solidFill>
                    <w14:schemeClr w14:val="tx1"/>
                  </w14:solidFill>
                </w14:textFill>
              </w:rPr>
              <w:t>监督体系</w:t>
            </w:r>
          </w:p>
        </w:tc>
        <w:tc>
          <w:tcPr>
            <w:tcW w:w="82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1</w:t>
            </w:r>
          </w:p>
        </w:tc>
        <w:tc>
          <w:tcPr>
            <w:tcW w:w="358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t>健全完善党委审计委员会制度体系和工作运行机制。</w:t>
            </w:r>
          </w:p>
        </w:tc>
        <w:tc>
          <w:tcPr>
            <w:tcW w:w="2653"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t>审计委员会议定事项完成率达到100%；区审计机关主要负责人向市局党组述职报告工作每年1次。</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2483"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color w:val="000000" w:themeColor="text1"/>
                <w:sz w:val="24"/>
                <w:szCs w:val="24"/>
                <w:vertAlign w:val="baseline"/>
                <w:lang w:eastAsia="zh-CN"/>
                <w14:textFill>
                  <w14:solidFill>
                    <w14:schemeClr w14:val="tx1"/>
                  </w14:solidFill>
                </w14:textFill>
              </w:rPr>
            </w:pPr>
          </w:p>
        </w:tc>
        <w:tc>
          <w:tcPr>
            <w:tcW w:w="82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2</w:t>
            </w:r>
          </w:p>
        </w:tc>
        <w:tc>
          <w:tcPr>
            <w:tcW w:w="358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000000" w:themeColor="text1"/>
                <w:sz w:val="24"/>
                <w:szCs w:val="24"/>
                <w:highlight w:val="none"/>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eastAsia="zh-CN"/>
                <w14:textFill>
                  <w14:solidFill>
                    <w14:schemeClr w14:val="tx1"/>
                  </w14:solidFill>
                </w14:textFill>
              </w:rPr>
              <w:t>严格按照市级要求构建全市审计“一盘棋”的管理和组织体系。</w:t>
            </w:r>
          </w:p>
        </w:tc>
        <w:tc>
          <w:tcPr>
            <w:tcW w:w="2653"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trPr>
        <w:tc>
          <w:tcPr>
            <w:tcW w:w="2483"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color w:val="000000" w:themeColor="text1"/>
                <w:sz w:val="24"/>
                <w:szCs w:val="24"/>
                <w:vertAlign w:val="baseline"/>
                <w:lang w:eastAsia="zh-CN"/>
                <w14:textFill>
                  <w14:solidFill>
                    <w14:schemeClr w14:val="tx1"/>
                  </w14:solidFill>
                </w14:textFill>
              </w:rPr>
            </w:pPr>
          </w:p>
        </w:tc>
        <w:tc>
          <w:tcPr>
            <w:tcW w:w="82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3</w:t>
            </w:r>
          </w:p>
        </w:tc>
        <w:tc>
          <w:tcPr>
            <w:tcW w:w="358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t>完善和优化审计监督与党内监督、其他监督的贯通协同机制。</w:t>
            </w:r>
          </w:p>
        </w:tc>
        <w:tc>
          <w:tcPr>
            <w:tcW w:w="2653"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 w:hRule="atLeast"/>
        </w:trPr>
        <w:tc>
          <w:tcPr>
            <w:tcW w:w="2483"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color w:val="000000" w:themeColor="text1"/>
                <w:sz w:val="24"/>
                <w:szCs w:val="24"/>
                <w:vertAlign w:val="baseline"/>
                <w:lang w:eastAsia="zh-CN"/>
                <w14:textFill>
                  <w14:solidFill>
                    <w14:schemeClr w14:val="tx1"/>
                  </w14:solidFill>
                </w14:textFill>
              </w:rPr>
            </w:pPr>
          </w:p>
        </w:tc>
        <w:tc>
          <w:tcPr>
            <w:tcW w:w="82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4</w:t>
            </w:r>
          </w:p>
        </w:tc>
        <w:tc>
          <w:tcPr>
            <w:tcW w:w="358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eastAsia="zh-CN"/>
                <w14:textFill>
                  <w14:solidFill>
                    <w14:schemeClr w14:val="tx1"/>
                  </w14:solidFill>
                </w14:textFill>
              </w:rPr>
              <w:t>建立健全对区委审计委员会办公室和审计机关的领导和监督机制。</w:t>
            </w:r>
          </w:p>
        </w:tc>
        <w:tc>
          <w:tcPr>
            <w:tcW w:w="2653"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trPr>
        <w:tc>
          <w:tcPr>
            <w:tcW w:w="2483"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color w:val="000000" w:themeColor="text1"/>
                <w:sz w:val="24"/>
                <w:szCs w:val="24"/>
                <w:vertAlign w:val="baseline"/>
                <w:lang w:eastAsia="zh-CN"/>
                <w14:textFill>
                  <w14:solidFill>
                    <w14:schemeClr w14:val="tx1"/>
                  </w14:solidFill>
                </w14:textFill>
              </w:rPr>
            </w:pPr>
            <w:r>
              <w:rPr>
                <w:rFonts w:hint="eastAsia" w:ascii="宋体" w:hAnsi="宋体" w:eastAsia="宋体" w:cs="宋体"/>
                <w:b/>
                <w:bCs/>
                <w:color w:val="000000" w:themeColor="text1"/>
                <w:sz w:val="24"/>
                <w:szCs w:val="24"/>
                <w:vertAlign w:val="baseline"/>
                <w:lang w:eastAsia="zh-CN"/>
                <w14:textFill>
                  <w14:solidFill>
                    <w14:schemeClr w14:val="tx1"/>
                  </w14:solidFill>
                </w14:textFill>
              </w:rPr>
              <w:t>高质量推进审计全覆盖</w:t>
            </w:r>
          </w:p>
        </w:tc>
        <w:tc>
          <w:tcPr>
            <w:tcW w:w="82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5</w:t>
            </w:r>
          </w:p>
        </w:tc>
        <w:tc>
          <w:tcPr>
            <w:tcW w:w="358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t>实现对重点领域、重大政策、重要资金和项目的全覆盖审计。</w:t>
            </w:r>
          </w:p>
        </w:tc>
        <w:tc>
          <w:tcPr>
            <w:tcW w:w="2653"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t>年度审计计划执行率100%:审计成果较“十三五”时期提升10%；独立实施审计项目现场审计时间不超过50个工作日：</w:t>
            </w:r>
            <w:r>
              <w:rPr>
                <w:rFonts w:hint="eastAsia" w:ascii="仿宋_GB2312" w:hAnsi="仿宋_GB2312" w:eastAsia="仿宋_GB2312" w:cs="仿宋_GB2312"/>
                <w:color w:val="000000" w:themeColor="text1"/>
                <w:sz w:val="24"/>
                <w:szCs w:val="24"/>
                <w:highlight w:val="none"/>
                <w:vertAlign w:val="baseline"/>
                <w:lang w:eastAsia="zh-CN"/>
                <w14:textFill>
                  <w14:solidFill>
                    <w14:schemeClr w14:val="tx1"/>
                  </w14:solidFill>
                </w14:textFill>
              </w:rPr>
              <w:t>对具备政务网络条件的联网单位，网络数据采集率达到100%。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trPr>
        <w:tc>
          <w:tcPr>
            <w:tcW w:w="2483"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color w:val="000000" w:themeColor="text1"/>
                <w:sz w:val="24"/>
                <w:szCs w:val="24"/>
                <w:vertAlign w:val="baseline"/>
                <w:lang w:eastAsia="zh-CN"/>
                <w14:textFill>
                  <w14:solidFill>
                    <w14:schemeClr w14:val="tx1"/>
                  </w14:solidFill>
                </w14:textFill>
              </w:rPr>
            </w:pPr>
          </w:p>
        </w:tc>
        <w:tc>
          <w:tcPr>
            <w:tcW w:w="82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6</w:t>
            </w:r>
          </w:p>
        </w:tc>
        <w:tc>
          <w:tcPr>
            <w:tcW w:w="358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bCs/>
                <w:color w:val="000000" w:themeColor="text1"/>
                <w:sz w:val="24"/>
                <w:szCs w:val="24"/>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t>建立健全审计对象库、审计项目滚动库和政策法规库。</w:t>
            </w:r>
          </w:p>
        </w:tc>
        <w:tc>
          <w:tcPr>
            <w:tcW w:w="2653"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2483"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color w:val="000000" w:themeColor="text1"/>
                <w:sz w:val="24"/>
                <w:szCs w:val="24"/>
                <w:vertAlign w:val="baseline"/>
                <w:lang w:eastAsia="zh-CN"/>
                <w14:textFill>
                  <w14:solidFill>
                    <w14:schemeClr w14:val="tx1"/>
                  </w14:solidFill>
                </w14:textFill>
              </w:rPr>
            </w:pPr>
          </w:p>
        </w:tc>
        <w:tc>
          <w:tcPr>
            <w:tcW w:w="82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7</w:t>
            </w:r>
          </w:p>
        </w:tc>
        <w:tc>
          <w:tcPr>
            <w:tcW w:w="358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仿宋_GB2312" w:hAnsi="仿宋_GB2312" w:eastAsia="仿宋_GB2312" w:cs="仿宋_GB2312"/>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t>建立健全审计项目计划研究论证、统筹布局和动态平衡机制</w:t>
            </w: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w:t>
            </w:r>
          </w:p>
        </w:tc>
        <w:tc>
          <w:tcPr>
            <w:tcW w:w="2653"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trPr>
        <w:tc>
          <w:tcPr>
            <w:tcW w:w="2483"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color w:val="000000" w:themeColor="text1"/>
                <w:sz w:val="24"/>
                <w:szCs w:val="24"/>
                <w:vertAlign w:val="baseline"/>
                <w:lang w:eastAsia="zh-CN"/>
                <w14:textFill>
                  <w14:solidFill>
                    <w14:schemeClr w14:val="tx1"/>
                  </w14:solidFill>
                </w14:textFill>
              </w:rPr>
            </w:pPr>
          </w:p>
        </w:tc>
        <w:tc>
          <w:tcPr>
            <w:tcW w:w="82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8</w:t>
            </w:r>
          </w:p>
        </w:tc>
        <w:tc>
          <w:tcPr>
            <w:tcW w:w="358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t>基本形成适应新发展理念和要求的审计评价指标体系</w:t>
            </w: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w:t>
            </w:r>
          </w:p>
        </w:tc>
        <w:tc>
          <w:tcPr>
            <w:tcW w:w="2653"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2483"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color w:val="000000" w:themeColor="text1"/>
                <w:sz w:val="24"/>
                <w:szCs w:val="24"/>
                <w:vertAlign w:val="baseline"/>
                <w:lang w:eastAsia="zh-CN"/>
                <w14:textFill>
                  <w14:solidFill>
                    <w14:schemeClr w14:val="tx1"/>
                  </w14:solidFill>
                </w14:textFill>
              </w:rPr>
            </w:pPr>
          </w:p>
        </w:tc>
        <w:tc>
          <w:tcPr>
            <w:tcW w:w="82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9</w:t>
            </w:r>
          </w:p>
        </w:tc>
        <w:tc>
          <w:tcPr>
            <w:tcW w:w="358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t>探索建设综合性、立体化、智慧型审计指挥、作业、管理平台</w:t>
            </w:r>
          </w:p>
        </w:tc>
        <w:tc>
          <w:tcPr>
            <w:tcW w:w="2653"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8" w:hRule="atLeast"/>
        </w:trPr>
        <w:tc>
          <w:tcPr>
            <w:tcW w:w="2483"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color w:val="000000" w:themeColor="text1"/>
                <w:sz w:val="24"/>
                <w:szCs w:val="24"/>
                <w:vertAlign w:val="baseline"/>
                <w:lang w:eastAsia="zh-CN"/>
                <w14:textFill>
                  <w14:solidFill>
                    <w14:schemeClr w14:val="tx1"/>
                  </w14:solidFill>
                </w14:textFill>
              </w:rPr>
            </w:pPr>
            <w:r>
              <w:rPr>
                <w:rFonts w:hint="eastAsia" w:ascii="宋体" w:hAnsi="宋体" w:eastAsia="宋体" w:cs="宋体"/>
                <w:b/>
                <w:bCs/>
                <w:color w:val="000000" w:themeColor="text1"/>
                <w:sz w:val="24"/>
                <w:szCs w:val="24"/>
                <w:vertAlign w:val="baseline"/>
                <w:lang w:eastAsia="zh-CN"/>
                <w14:textFill>
                  <w14:solidFill>
                    <w14:schemeClr w14:val="tx1"/>
                  </w14:solidFill>
                </w14:textFill>
              </w:rPr>
              <w:t>高效能服务城市治理</w:t>
            </w:r>
          </w:p>
        </w:tc>
        <w:tc>
          <w:tcPr>
            <w:tcW w:w="82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10</w:t>
            </w:r>
          </w:p>
        </w:tc>
        <w:tc>
          <w:tcPr>
            <w:tcW w:w="358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t>提升信息化建设对审计业务的支撑作用，积极打造智慧审计应用场景。</w:t>
            </w:r>
          </w:p>
        </w:tc>
        <w:tc>
          <w:tcPr>
            <w:tcW w:w="2653"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t>审计建议采纳率高于60%;通过审计推动被审计地区、单位和国有企业制定整改措施、建立健全规章制度数量较“十三五”时期提升5%。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trPr>
        <w:tc>
          <w:tcPr>
            <w:tcW w:w="2483"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pPr>
          </w:p>
        </w:tc>
        <w:tc>
          <w:tcPr>
            <w:tcW w:w="82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11</w:t>
            </w:r>
          </w:p>
        </w:tc>
        <w:tc>
          <w:tcPr>
            <w:tcW w:w="358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t>探索建立促进重大政策落实的全过程跟踪审计和成果整合机制。</w:t>
            </w:r>
          </w:p>
        </w:tc>
        <w:tc>
          <w:tcPr>
            <w:tcW w:w="2653"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2483"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pPr>
          </w:p>
        </w:tc>
        <w:tc>
          <w:tcPr>
            <w:tcW w:w="82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12</w:t>
            </w:r>
          </w:p>
        </w:tc>
        <w:tc>
          <w:tcPr>
            <w:tcW w:w="358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t>积极完善审计“两统筹”组织方式和技术方法。</w:t>
            </w:r>
          </w:p>
        </w:tc>
        <w:tc>
          <w:tcPr>
            <w:tcW w:w="2653"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atLeast"/>
        </w:trPr>
        <w:tc>
          <w:tcPr>
            <w:tcW w:w="2483"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pPr>
          </w:p>
        </w:tc>
        <w:tc>
          <w:tcPr>
            <w:tcW w:w="82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13</w:t>
            </w:r>
          </w:p>
        </w:tc>
        <w:tc>
          <w:tcPr>
            <w:tcW w:w="358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t>探索运用信息技术开展日常监督和风险预判预警长效机制。</w:t>
            </w:r>
          </w:p>
        </w:tc>
        <w:tc>
          <w:tcPr>
            <w:tcW w:w="2653"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trPr>
        <w:tc>
          <w:tcPr>
            <w:tcW w:w="2483"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pPr>
          </w:p>
        </w:tc>
        <w:tc>
          <w:tcPr>
            <w:tcW w:w="82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14</w:t>
            </w:r>
          </w:p>
        </w:tc>
        <w:tc>
          <w:tcPr>
            <w:tcW w:w="358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t>探索建立领导干部履行经济责任和生态环保责任清单制度。</w:t>
            </w:r>
          </w:p>
        </w:tc>
        <w:tc>
          <w:tcPr>
            <w:tcW w:w="2653"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trPr>
        <w:tc>
          <w:tcPr>
            <w:tcW w:w="2483"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pPr>
          </w:p>
        </w:tc>
        <w:tc>
          <w:tcPr>
            <w:tcW w:w="82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15</w:t>
            </w:r>
          </w:p>
        </w:tc>
        <w:tc>
          <w:tcPr>
            <w:tcW w:w="358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t>推动建立健全与行业主管部门内审机构协作配合和督促整改工作机制。</w:t>
            </w:r>
          </w:p>
        </w:tc>
        <w:tc>
          <w:tcPr>
            <w:tcW w:w="2653"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trPr>
        <w:tc>
          <w:tcPr>
            <w:tcW w:w="2483"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color w:val="000000" w:themeColor="text1"/>
                <w:sz w:val="24"/>
                <w:szCs w:val="24"/>
                <w:vertAlign w:val="baseline"/>
                <w:lang w:eastAsia="zh-CN"/>
                <w14:textFill>
                  <w14:solidFill>
                    <w14:schemeClr w14:val="tx1"/>
                  </w14:solidFill>
                </w14:textFill>
              </w:rPr>
            </w:pPr>
            <w:r>
              <w:rPr>
                <w:rFonts w:hint="eastAsia" w:ascii="宋体" w:hAnsi="宋体" w:eastAsia="宋体" w:cs="宋体"/>
                <w:b/>
                <w:bCs/>
                <w:color w:val="000000" w:themeColor="text1"/>
                <w:sz w:val="24"/>
                <w:szCs w:val="24"/>
                <w:vertAlign w:val="baseline"/>
                <w:lang w:eastAsia="zh-CN"/>
                <w14:textFill>
                  <w14:solidFill>
                    <w14:schemeClr w14:val="tx1"/>
                  </w14:solidFill>
                </w14:textFill>
              </w:rPr>
              <w:t>高品质提升审计质量</w:t>
            </w:r>
          </w:p>
        </w:tc>
        <w:tc>
          <w:tcPr>
            <w:tcW w:w="82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16</w:t>
            </w:r>
          </w:p>
        </w:tc>
        <w:tc>
          <w:tcPr>
            <w:tcW w:w="358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t>持续建立和完善我区审计制度体系。</w:t>
            </w:r>
          </w:p>
        </w:tc>
        <w:tc>
          <w:tcPr>
            <w:tcW w:w="2653"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t>审计法定职责权限范围内重大问题应发现率达到100%:审计发现应移送事项、人员移送率达到100%;到2025年，审计工作报告问题金额整改率达到90%以上，审计整改期限内，问题整改率达到95%以上。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trPr>
        <w:tc>
          <w:tcPr>
            <w:tcW w:w="2483"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color w:val="000000" w:themeColor="text1"/>
                <w:sz w:val="24"/>
                <w:szCs w:val="24"/>
                <w:vertAlign w:val="baseline"/>
                <w:lang w:eastAsia="zh-CN"/>
                <w14:textFill>
                  <w14:solidFill>
                    <w14:schemeClr w14:val="tx1"/>
                  </w14:solidFill>
                </w14:textFill>
              </w:rPr>
            </w:pPr>
          </w:p>
        </w:tc>
        <w:tc>
          <w:tcPr>
            <w:tcW w:w="82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17</w:t>
            </w:r>
          </w:p>
        </w:tc>
        <w:tc>
          <w:tcPr>
            <w:tcW w:w="358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t>建立健全与审计监督职能相四配的审计资源整合机制。</w:t>
            </w:r>
          </w:p>
        </w:tc>
        <w:tc>
          <w:tcPr>
            <w:tcW w:w="2653"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2483"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color w:val="000000" w:themeColor="text1"/>
                <w:sz w:val="24"/>
                <w:szCs w:val="24"/>
                <w:vertAlign w:val="baseline"/>
                <w:lang w:eastAsia="zh-CN"/>
                <w14:textFill>
                  <w14:solidFill>
                    <w14:schemeClr w14:val="tx1"/>
                  </w14:solidFill>
                </w14:textFill>
              </w:rPr>
            </w:pPr>
          </w:p>
        </w:tc>
        <w:tc>
          <w:tcPr>
            <w:tcW w:w="82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18</w:t>
            </w:r>
          </w:p>
        </w:tc>
        <w:tc>
          <w:tcPr>
            <w:tcW w:w="358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t>实施审计项目“质量提升”行动。</w:t>
            </w:r>
          </w:p>
        </w:tc>
        <w:tc>
          <w:tcPr>
            <w:tcW w:w="2653"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rPr>
        <w:tc>
          <w:tcPr>
            <w:tcW w:w="2483"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color w:val="000000" w:themeColor="text1"/>
                <w:sz w:val="24"/>
                <w:szCs w:val="24"/>
                <w:vertAlign w:val="baseline"/>
                <w:lang w:eastAsia="zh-CN"/>
                <w14:textFill>
                  <w14:solidFill>
                    <w14:schemeClr w14:val="tx1"/>
                  </w14:solidFill>
                </w14:textFill>
              </w:rPr>
            </w:pPr>
          </w:p>
        </w:tc>
        <w:tc>
          <w:tcPr>
            <w:tcW w:w="82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19</w:t>
            </w:r>
          </w:p>
        </w:tc>
        <w:tc>
          <w:tcPr>
            <w:tcW w:w="358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t>规范完善审计质量控制和评价标准。</w:t>
            </w:r>
          </w:p>
        </w:tc>
        <w:tc>
          <w:tcPr>
            <w:tcW w:w="2653"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trPr>
        <w:tc>
          <w:tcPr>
            <w:tcW w:w="2483"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color w:val="000000" w:themeColor="text1"/>
                <w:sz w:val="24"/>
                <w:szCs w:val="24"/>
                <w:vertAlign w:val="baseline"/>
                <w:lang w:eastAsia="zh-CN"/>
                <w14:textFill>
                  <w14:solidFill>
                    <w14:schemeClr w14:val="tx1"/>
                  </w14:solidFill>
                </w14:textFill>
              </w:rPr>
            </w:pPr>
          </w:p>
        </w:tc>
        <w:tc>
          <w:tcPr>
            <w:tcW w:w="82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20</w:t>
            </w:r>
          </w:p>
        </w:tc>
        <w:tc>
          <w:tcPr>
            <w:tcW w:w="358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t>分板块编制审计业务指引及相关操作规程。</w:t>
            </w:r>
          </w:p>
        </w:tc>
        <w:tc>
          <w:tcPr>
            <w:tcW w:w="2653"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2483"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color w:val="000000" w:themeColor="text1"/>
                <w:sz w:val="24"/>
                <w:szCs w:val="24"/>
                <w:vertAlign w:val="baseline"/>
                <w:lang w:eastAsia="zh-CN"/>
                <w14:textFill>
                  <w14:solidFill>
                    <w14:schemeClr w14:val="tx1"/>
                  </w14:solidFill>
                </w14:textFill>
              </w:rPr>
            </w:pPr>
          </w:p>
        </w:tc>
        <w:tc>
          <w:tcPr>
            <w:tcW w:w="82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21</w:t>
            </w:r>
          </w:p>
        </w:tc>
        <w:tc>
          <w:tcPr>
            <w:tcW w:w="358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t>制定和完善审计格改工作长效机制。</w:t>
            </w:r>
          </w:p>
        </w:tc>
        <w:tc>
          <w:tcPr>
            <w:tcW w:w="2653"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2483"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color w:val="000000" w:themeColor="text1"/>
                <w:sz w:val="24"/>
                <w:szCs w:val="24"/>
                <w:vertAlign w:val="baseline"/>
                <w:lang w:eastAsia="zh-CN"/>
                <w14:textFill>
                  <w14:solidFill>
                    <w14:schemeClr w14:val="tx1"/>
                  </w14:solidFill>
                </w14:textFill>
              </w:rPr>
            </w:pPr>
          </w:p>
        </w:tc>
        <w:tc>
          <w:tcPr>
            <w:tcW w:w="82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22</w:t>
            </w:r>
          </w:p>
        </w:tc>
        <w:tc>
          <w:tcPr>
            <w:tcW w:w="358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t>建立健全审计机关审计结果和信息共享机制。</w:t>
            </w:r>
          </w:p>
        </w:tc>
        <w:tc>
          <w:tcPr>
            <w:tcW w:w="2653"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2483"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color w:val="000000" w:themeColor="text1"/>
                <w:sz w:val="24"/>
                <w:szCs w:val="24"/>
                <w:vertAlign w:val="baseline"/>
                <w:lang w:eastAsia="zh-CN"/>
                <w14:textFill>
                  <w14:solidFill>
                    <w14:schemeClr w14:val="tx1"/>
                  </w14:solidFill>
                </w14:textFill>
              </w:rPr>
            </w:pPr>
          </w:p>
        </w:tc>
        <w:tc>
          <w:tcPr>
            <w:tcW w:w="82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23</w:t>
            </w:r>
          </w:p>
        </w:tc>
        <w:tc>
          <w:tcPr>
            <w:tcW w:w="358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t>积极推进研究型审计机关建设</w:t>
            </w:r>
          </w:p>
        </w:tc>
        <w:tc>
          <w:tcPr>
            <w:tcW w:w="2653"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2483"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color w:val="000000" w:themeColor="text1"/>
                <w:sz w:val="24"/>
                <w:szCs w:val="24"/>
                <w:vertAlign w:val="baseline"/>
                <w:lang w:eastAsia="zh-CN"/>
                <w14:textFill>
                  <w14:solidFill>
                    <w14:schemeClr w14:val="tx1"/>
                  </w14:solidFill>
                </w14:textFill>
              </w:rPr>
            </w:pPr>
            <w:r>
              <w:rPr>
                <w:rFonts w:hint="eastAsia" w:ascii="宋体" w:hAnsi="宋体" w:eastAsia="宋体" w:cs="宋体"/>
                <w:b/>
                <w:bCs/>
                <w:color w:val="000000" w:themeColor="text1"/>
                <w:sz w:val="24"/>
                <w:szCs w:val="24"/>
                <w:vertAlign w:val="baseline"/>
                <w:lang w:eastAsia="zh-CN"/>
                <w14:textFill>
                  <w14:solidFill>
                    <w14:schemeClr w14:val="tx1"/>
                  </w14:solidFill>
                </w14:textFill>
              </w:rPr>
              <w:t>高水准建设审计队伍</w:t>
            </w:r>
          </w:p>
        </w:tc>
        <w:tc>
          <w:tcPr>
            <w:tcW w:w="82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24</w:t>
            </w:r>
          </w:p>
        </w:tc>
        <w:tc>
          <w:tcPr>
            <w:tcW w:w="358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t>健全完善“不忘初心、牢记使命”长效机制。</w:t>
            </w:r>
          </w:p>
        </w:tc>
        <w:tc>
          <w:tcPr>
            <w:tcW w:w="2653"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t>审计领军人才和业务骨干人才占专业技术类公务员的20%;具有中级及以上专业技术资格的比例达到50%:40岁以下、直接从事审计业务工作的人员，参加计算机中级培训率达到100%;综合管理类和专业技术类公务员中35岁左右科级领导干部占比提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2483"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pPr>
          </w:p>
        </w:tc>
        <w:tc>
          <w:tcPr>
            <w:tcW w:w="82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25</w:t>
            </w:r>
          </w:p>
        </w:tc>
        <w:tc>
          <w:tcPr>
            <w:tcW w:w="358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t>大力培育和弘扬审计文化。</w:t>
            </w:r>
          </w:p>
        </w:tc>
        <w:tc>
          <w:tcPr>
            <w:tcW w:w="2653"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2483"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pPr>
          </w:p>
        </w:tc>
        <w:tc>
          <w:tcPr>
            <w:tcW w:w="82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26</w:t>
            </w:r>
          </w:p>
        </w:tc>
        <w:tc>
          <w:tcPr>
            <w:tcW w:w="358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t>完善教育培训、培养选拔、考核激励和管理使用机制。</w:t>
            </w:r>
          </w:p>
        </w:tc>
        <w:tc>
          <w:tcPr>
            <w:tcW w:w="2653"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2483"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pPr>
          </w:p>
        </w:tc>
        <w:tc>
          <w:tcPr>
            <w:tcW w:w="82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27</w:t>
            </w:r>
          </w:p>
        </w:tc>
        <w:tc>
          <w:tcPr>
            <w:tcW w:w="358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t>建立健全审计领军人才、业务骨干人才机制。</w:t>
            </w:r>
          </w:p>
        </w:tc>
        <w:tc>
          <w:tcPr>
            <w:tcW w:w="2653"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trPr>
        <w:tc>
          <w:tcPr>
            <w:tcW w:w="2483"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pPr>
          </w:p>
        </w:tc>
        <w:tc>
          <w:tcPr>
            <w:tcW w:w="82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28</w:t>
            </w:r>
          </w:p>
        </w:tc>
        <w:tc>
          <w:tcPr>
            <w:tcW w:w="358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t>探索建立有利于更好促进审计业务工作的党建工作新机制。</w:t>
            </w:r>
          </w:p>
        </w:tc>
        <w:tc>
          <w:tcPr>
            <w:tcW w:w="2653"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2483"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pPr>
          </w:p>
        </w:tc>
        <w:tc>
          <w:tcPr>
            <w:tcW w:w="82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29</w:t>
            </w:r>
          </w:p>
        </w:tc>
        <w:tc>
          <w:tcPr>
            <w:tcW w:w="358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t>打造审计特的品牌。</w:t>
            </w:r>
          </w:p>
        </w:tc>
        <w:tc>
          <w:tcPr>
            <w:tcW w:w="2653"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2483"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pPr>
          </w:p>
        </w:tc>
        <w:tc>
          <w:tcPr>
            <w:tcW w:w="82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30</w:t>
            </w:r>
          </w:p>
        </w:tc>
        <w:tc>
          <w:tcPr>
            <w:tcW w:w="358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t>审计队伍作风纪律持续提升。</w:t>
            </w:r>
          </w:p>
        </w:tc>
        <w:tc>
          <w:tcPr>
            <w:tcW w:w="2653"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pPr>
          </w:p>
        </w:tc>
      </w:tr>
    </w:tbl>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000000" w:themeColor="text1"/>
          <w:sz w:val="24"/>
          <w:szCs w:val="24"/>
          <w:lang w:eastAsia="zh-CN"/>
          <w14:textFill>
            <w14:solidFill>
              <w14:schemeClr w14:val="tx1"/>
            </w14:solidFill>
          </w14:textFill>
        </w:rPr>
      </w:pPr>
    </w:p>
    <w:sectPr>
      <w:footerReference r:id="rId3" w:type="default"/>
      <w:pgSz w:w="11906" w:h="16838"/>
      <w:pgMar w:top="2098" w:right="1531" w:bottom="1984" w:left="1531"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方正小标宋简体">
    <w:altName w:val="黑体"/>
    <w:panose1 w:val="03000509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rFonts w:asciiTheme="minorEastAsia" w:hAnsiTheme="minorEastAsia"/>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rPr>
                              <w:rFonts w:asciiTheme="minorEastAsia" w:hAnsiTheme="minorEastAsia"/>
                              <w:sz w:val="28"/>
                              <w:szCs w:val="28"/>
                            </w:rPr>
                            <w:id w:val="1382981780"/>
                            <w:docPartObj>
                              <w:docPartGallery w:val="autotext"/>
                            </w:docPartObj>
                          </w:sdtPr>
                          <w:sdtEndPr>
                            <w:rPr>
                              <w:rFonts w:hint="eastAsia" w:ascii="仿宋_GB2312" w:hAnsi="仿宋_GB2312" w:eastAsia="仿宋_GB2312" w:cs="仿宋_GB2312"/>
                              <w:sz w:val="28"/>
                              <w:szCs w:val="28"/>
                            </w:rPr>
                          </w:sdtEndPr>
                          <w:sdtContent>
                            <w:p>
                              <w:pPr>
                                <w:pStyle w:val="5"/>
                                <w:jc w:val="center"/>
                                <w:rPr>
                                  <w:rFonts w:hint="eastAsia" w:ascii="仿宋_GB2312" w:hAnsi="仿宋_GB2312" w:eastAsia="仿宋_GB2312" w:cs="仿宋_GB2312"/>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lang w:val="zh-CN"/>
                                </w:rPr>
                                <w:t>-</w:t>
                              </w:r>
                              <w:r>
                                <w:rPr>
                                  <w:rFonts w:hint="eastAsia" w:ascii="宋体" w:hAnsi="宋体" w:eastAsia="宋体" w:cs="宋体"/>
                                  <w:sz w:val="28"/>
                                  <w:szCs w:val="28"/>
                                </w:rPr>
                                <w:t xml:space="preserve"> 24 -</w:t>
                              </w:r>
                              <w:r>
                                <w:rPr>
                                  <w:rFonts w:hint="eastAsia" w:ascii="宋体" w:hAnsi="宋体" w:eastAsia="宋体" w:cs="宋体"/>
                                  <w:sz w:val="28"/>
                                  <w:szCs w:val="28"/>
                                </w:rPr>
                                <w:fldChar w:fldCharType="end"/>
                              </w:r>
                            </w:p>
                          </w:sdtContent>
                        </w:sdt>
                        <w:p>
                          <w:pPr>
                            <w:rPr>
                              <w:rFonts w:asciiTheme="minorEastAsia" w:hAnsiTheme="minorEastAsia"/>
                              <w:sz w:val="28"/>
                              <w:szCs w:val="28"/>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sdt>
                    <w:sdtPr>
                      <w:rPr>
                        <w:rFonts w:asciiTheme="minorEastAsia" w:hAnsiTheme="minorEastAsia"/>
                        <w:sz w:val="28"/>
                        <w:szCs w:val="28"/>
                      </w:rPr>
                      <w:id w:val="1382981780"/>
                      <w:docPartObj>
                        <w:docPartGallery w:val="autotext"/>
                      </w:docPartObj>
                    </w:sdtPr>
                    <w:sdtEndPr>
                      <w:rPr>
                        <w:rFonts w:hint="eastAsia" w:ascii="仿宋_GB2312" w:hAnsi="仿宋_GB2312" w:eastAsia="仿宋_GB2312" w:cs="仿宋_GB2312"/>
                        <w:sz w:val="28"/>
                        <w:szCs w:val="28"/>
                      </w:rPr>
                    </w:sdtEndPr>
                    <w:sdtContent>
                      <w:p>
                        <w:pPr>
                          <w:pStyle w:val="5"/>
                          <w:jc w:val="center"/>
                          <w:rPr>
                            <w:rFonts w:hint="eastAsia" w:ascii="仿宋_GB2312" w:hAnsi="仿宋_GB2312" w:eastAsia="仿宋_GB2312" w:cs="仿宋_GB2312"/>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lang w:val="zh-CN"/>
                          </w:rPr>
                          <w:t>-</w:t>
                        </w:r>
                        <w:r>
                          <w:rPr>
                            <w:rFonts w:hint="eastAsia" w:ascii="宋体" w:hAnsi="宋体" w:eastAsia="宋体" w:cs="宋体"/>
                            <w:sz w:val="28"/>
                            <w:szCs w:val="28"/>
                          </w:rPr>
                          <w:t xml:space="preserve"> 24 -</w:t>
                        </w:r>
                        <w:r>
                          <w:rPr>
                            <w:rFonts w:hint="eastAsia" w:ascii="宋体" w:hAnsi="宋体" w:eastAsia="宋体" w:cs="宋体"/>
                            <w:sz w:val="28"/>
                            <w:szCs w:val="28"/>
                          </w:rPr>
                          <w:fldChar w:fldCharType="end"/>
                        </w:r>
                      </w:p>
                    </w:sdtContent>
                  </w:sdt>
                  <w:p>
                    <w:pPr>
                      <w:rPr>
                        <w:rFonts w:asciiTheme="minorEastAsia" w:hAnsiTheme="minorEastAsia"/>
                        <w:sz w:val="28"/>
                        <w:szCs w:val="28"/>
                      </w:rPr>
                    </w:pPr>
                  </w:p>
                </w:txbxContent>
              </v:textbox>
            </v:shape>
          </w:pict>
        </mc:Fallback>
      </mc:AlternateContent>
    </w:r>
  </w:p>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c2ZmVjNjYwYTJlMTQ0OTEzOWJhM2NlZWM0ZjE1NjMifQ=="/>
  </w:docVars>
  <w:rsids>
    <w:rsidRoot w:val="00C0220C"/>
    <w:rsid w:val="000D40D8"/>
    <w:rsid w:val="00114BCD"/>
    <w:rsid w:val="001434F3"/>
    <w:rsid w:val="00186C79"/>
    <w:rsid w:val="001E35A2"/>
    <w:rsid w:val="00221592"/>
    <w:rsid w:val="00244988"/>
    <w:rsid w:val="0026443A"/>
    <w:rsid w:val="002B22F4"/>
    <w:rsid w:val="002D2B9C"/>
    <w:rsid w:val="002F2E80"/>
    <w:rsid w:val="00316323"/>
    <w:rsid w:val="004274C3"/>
    <w:rsid w:val="0048196E"/>
    <w:rsid w:val="004A5BF3"/>
    <w:rsid w:val="004E11F9"/>
    <w:rsid w:val="00507626"/>
    <w:rsid w:val="00573C9A"/>
    <w:rsid w:val="005F6D5E"/>
    <w:rsid w:val="00665156"/>
    <w:rsid w:val="00745C76"/>
    <w:rsid w:val="00814E61"/>
    <w:rsid w:val="008A7CF2"/>
    <w:rsid w:val="008D64E9"/>
    <w:rsid w:val="008D7EDF"/>
    <w:rsid w:val="00900332"/>
    <w:rsid w:val="009E76AD"/>
    <w:rsid w:val="00A507B5"/>
    <w:rsid w:val="00A768AF"/>
    <w:rsid w:val="00A9642E"/>
    <w:rsid w:val="00AA2198"/>
    <w:rsid w:val="00AC084C"/>
    <w:rsid w:val="00B2236E"/>
    <w:rsid w:val="00B86F85"/>
    <w:rsid w:val="00B95C27"/>
    <w:rsid w:val="00C0220C"/>
    <w:rsid w:val="00C53706"/>
    <w:rsid w:val="00D359B8"/>
    <w:rsid w:val="00D77873"/>
    <w:rsid w:val="00DC0F5C"/>
    <w:rsid w:val="00ED24F8"/>
    <w:rsid w:val="00F01BA4"/>
    <w:rsid w:val="00F54F12"/>
    <w:rsid w:val="00FB4C8A"/>
    <w:rsid w:val="07271079"/>
    <w:rsid w:val="08250AE9"/>
    <w:rsid w:val="0BA02DC1"/>
    <w:rsid w:val="0F1F43A9"/>
    <w:rsid w:val="188B4E98"/>
    <w:rsid w:val="1E001F96"/>
    <w:rsid w:val="20765E8E"/>
    <w:rsid w:val="28781158"/>
    <w:rsid w:val="29BF46CB"/>
    <w:rsid w:val="2F6A240D"/>
    <w:rsid w:val="37311E0C"/>
    <w:rsid w:val="3A992546"/>
    <w:rsid w:val="3AB07149"/>
    <w:rsid w:val="3C351FEC"/>
    <w:rsid w:val="403A4658"/>
    <w:rsid w:val="48790AAF"/>
    <w:rsid w:val="48E72288"/>
    <w:rsid w:val="49813576"/>
    <w:rsid w:val="4C304E6E"/>
    <w:rsid w:val="4E9C1F96"/>
    <w:rsid w:val="4F46264C"/>
    <w:rsid w:val="50EA32FE"/>
    <w:rsid w:val="58AE4FC5"/>
    <w:rsid w:val="5B1D3EE4"/>
    <w:rsid w:val="5FB51B62"/>
    <w:rsid w:val="5FFB07C0"/>
    <w:rsid w:val="600B4FBD"/>
    <w:rsid w:val="63930FE6"/>
    <w:rsid w:val="666C4171"/>
    <w:rsid w:val="71B50027"/>
    <w:rsid w:val="749C4499"/>
    <w:rsid w:val="76B82129"/>
    <w:rsid w:val="78B743D5"/>
    <w:rsid w:val="7ACC7D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13"/>
    <w:qFormat/>
    <w:uiPriority w:val="9"/>
    <w:pPr>
      <w:keepNext/>
      <w:keepLines/>
      <w:spacing w:before="340" w:after="330" w:line="578" w:lineRule="auto"/>
      <w:outlineLvl w:val="0"/>
    </w:pPr>
    <w:rPr>
      <w:b/>
      <w:bCs/>
      <w:kern w:val="44"/>
      <w:sz w:val="44"/>
      <w:szCs w:val="44"/>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overflowPunct w:val="0"/>
      <w:autoSpaceDE w:val="0"/>
      <w:autoSpaceDN w:val="0"/>
      <w:adjustRightInd w:val="0"/>
      <w:ind w:firstLine="420"/>
      <w:textAlignment w:val="baseline"/>
    </w:pPr>
    <w:rPr>
      <w:rFonts w:ascii="Calibri" w:hAnsi="Calibri" w:eastAsia="宋体"/>
      <w:kern w:val="0"/>
      <w:sz w:val="20"/>
      <w:szCs w:val="20"/>
    </w:rPr>
  </w:style>
  <w:style w:type="paragraph" w:styleId="4">
    <w:name w:val="Body Text"/>
    <w:basedOn w:val="1"/>
    <w:next w:val="1"/>
    <w:qFormat/>
    <w:uiPriority w:val="0"/>
    <w:rPr>
      <w:rFonts w:eastAsia="仿宋_GB2312"/>
      <w:sz w:val="32"/>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footnote text"/>
    <w:basedOn w:val="1"/>
    <w:next w:val="4"/>
    <w:qFormat/>
    <w:uiPriority w:val="0"/>
    <w:pPr>
      <w:snapToGrid w:val="0"/>
      <w:jc w:val="left"/>
    </w:pPr>
    <w:rPr>
      <w:sz w:val="18"/>
      <w:szCs w:val="18"/>
    </w:rPr>
  </w:style>
  <w:style w:type="table" w:styleId="9">
    <w:name w:val="Table Grid"/>
    <w:basedOn w:val="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1">
    <w:name w:val="页眉 Char"/>
    <w:basedOn w:val="10"/>
    <w:link w:val="6"/>
    <w:semiHidden/>
    <w:qFormat/>
    <w:uiPriority w:val="99"/>
    <w:rPr>
      <w:sz w:val="18"/>
      <w:szCs w:val="18"/>
    </w:rPr>
  </w:style>
  <w:style w:type="character" w:customStyle="1" w:styleId="12">
    <w:name w:val="页脚 Char"/>
    <w:basedOn w:val="10"/>
    <w:link w:val="5"/>
    <w:qFormat/>
    <w:uiPriority w:val="99"/>
    <w:rPr>
      <w:sz w:val="18"/>
      <w:szCs w:val="18"/>
    </w:rPr>
  </w:style>
  <w:style w:type="character" w:customStyle="1" w:styleId="13">
    <w:name w:val="标题 1 Char"/>
    <w:basedOn w:val="10"/>
    <w:link w:val="3"/>
    <w:qFormat/>
    <w:uiPriority w:val="9"/>
    <w:rPr>
      <w:b/>
      <w:bCs/>
      <w:kern w:val="44"/>
      <w:sz w:val="44"/>
      <w:szCs w:val="4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30</Pages>
  <Words>15563</Words>
  <Characters>15657</Characters>
  <Lines>93</Lines>
  <Paragraphs>26</Paragraphs>
  <TotalTime>177</TotalTime>
  <ScaleCrop>false</ScaleCrop>
  <LinksUpToDate>false</LinksUpToDate>
  <CharactersWithSpaces>15691</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2021-12-28T09:18:00Z</dcterms:created>
  <dc:creator>guo</dc:creator>
  <cp:lastModifiedBy>Administrator</cp:lastModifiedBy>
  <cp:lastPrinted>2022-07-07T03:12:00Z</cp:lastPrinted>
  <dcterms:modified xsi:type="dcterms:W3CDTF">2022-09-01T02:22:52Z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498726A6947A4134ADEFE4B70C003B4A</vt:lpwstr>
  </property>
</Properties>
</file>